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7AA594" w14:textId="395621CF" w:rsidR="002147D8" w:rsidRPr="0097670D" w:rsidRDefault="00890C24">
      <w:pPr>
        <w:spacing w:line="480" w:lineRule="auto"/>
        <w:jc w:val="center"/>
        <w:rPr>
          <w:b/>
        </w:rPr>
      </w:pPr>
      <w:r w:rsidRPr="0097670D">
        <w:rPr>
          <w:b/>
        </w:rPr>
        <w:t xml:space="preserve">Revisiting the Patient–Physician Relationship under the Lens of </w:t>
      </w:r>
      <w:r w:rsidRPr="0097670D">
        <w:rPr>
          <w:b/>
        </w:rPr>
        <w:br/>
        <w:t>Value Co-Creation and Defensive Medicine</w:t>
      </w:r>
    </w:p>
    <w:p w14:paraId="612ED6F6" w14:textId="77777777" w:rsidR="002147D8" w:rsidRPr="0097670D" w:rsidRDefault="002147D8">
      <w:pPr>
        <w:pStyle w:val="Affiliation"/>
        <w:spacing w:after="0" w:line="480" w:lineRule="auto"/>
        <w:jc w:val="left"/>
        <w:rPr>
          <w:sz w:val="22"/>
          <w:szCs w:val="22"/>
          <w:lang w:val="en-GB"/>
        </w:rPr>
      </w:pPr>
    </w:p>
    <w:p w14:paraId="5CF97E0C" w14:textId="70E161DB" w:rsidR="002147D8" w:rsidRPr="0097670D" w:rsidRDefault="00890C24">
      <w:pPr>
        <w:pStyle w:val="Titolo6"/>
        <w:spacing w:before="0" w:after="0" w:line="480" w:lineRule="auto"/>
        <w:rPr>
          <w:rFonts w:ascii="Times New Roman" w:hAnsi="Times New Roman"/>
        </w:rPr>
      </w:pPr>
      <w:r w:rsidRPr="0097670D">
        <w:rPr>
          <w:rFonts w:ascii="Times New Roman" w:hAnsi="Times New Roman"/>
        </w:rPr>
        <w:t>A</w:t>
      </w:r>
      <w:r w:rsidR="00BC36D6" w:rsidRPr="0097670D">
        <w:rPr>
          <w:rFonts w:ascii="Times New Roman" w:hAnsi="Times New Roman"/>
        </w:rPr>
        <w:t>bstract</w:t>
      </w:r>
    </w:p>
    <w:p w14:paraId="6A6574AA" w14:textId="37267C88" w:rsidR="002147D8" w:rsidRPr="0097670D" w:rsidRDefault="00890C24">
      <w:pPr>
        <w:spacing w:line="480" w:lineRule="auto"/>
        <w:jc w:val="both"/>
        <w:rPr>
          <w:sz w:val="22"/>
          <w:szCs w:val="22"/>
          <w:lang w:eastAsia="en-IE"/>
        </w:rPr>
      </w:pPr>
      <w:r w:rsidRPr="0097670D">
        <w:rPr>
          <w:b/>
          <w:bCs/>
          <w:sz w:val="22"/>
          <w:szCs w:val="22"/>
          <w:lang w:eastAsia="en-IE"/>
        </w:rPr>
        <w:t xml:space="preserve">Purpose: </w:t>
      </w:r>
      <w:r w:rsidRPr="0097670D">
        <w:rPr>
          <w:sz w:val="22"/>
          <w:szCs w:val="22"/>
          <w:lang w:eastAsia="en-IE"/>
        </w:rPr>
        <w:t xml:space="preserve">This study formulates a new archetypical model that describes and re-interprets the patient–physician relationship from the perspective of </w:t>
      </w:r>
      <w:bookmarkStart w:id="0" w:name="_Hlk50977935"/>
      <w:r w:rsidRPr="0097670D">
        <w:rPr>
          <w:sz w:val="22"/>
          <w:szCs w:val="22"/>
          <w:lang w:eastAsia="en-IE"/>
        </w:rPr>
        <w:t xml:space="preserve">two widespread </w:t>
      </w:r>
      <w:bookmarkEnd w:id="0"/>
      <w:r w:rsidRPr="0097670D">
        <w:rPr>
          <w:sz w:val="22"/>
          <w:szCs w:val="22"/>
          <w:lang w:eastAsia="en-IE"/>
        </w:rPr>
        <w:t xml:space="preserve">phenomena in the healthcare delivery process: </w:t>
      </w:r>
      <w:r w:rsidRPr="0097670D">
        <w:rPr>
          <w:sz w:val="22"/>
          <w:szCs w:val="22"/>
        </w:rPr>
        <w:t>value co-creation (VCC) and defensive medicine (DM)</w:t>
      </w:r>
      <w:r w:rsidRPr="0097670D">
        <w:rPr>
          <w:sz w:val="22"/>
          <w:szCs w:val="22"/>
          <w:lang w:eastAsia="en-IE"/>
        </w:rPr>
        <w:t>.</w:t>
      </w:r>
    </w:p>
    <w:p w14:paraId="51398396" w14:textId="33BE5DC4" w:rsidR="002147D8" w:rsidRPr="0097670D" w:rsidRDefault="00890C24">
      <w:pPr>
        <w:spacing w:line="480" w:lineRule="auto"/>
        <w:jc w:val="both"/>
        <w:rPr>
          <w:sz w:val="22"/>
          <w:szCs w:val="22"/>
          <w:lang w:eastAsia="en-IE"/>
        </w:rPr>
      </w:pPr>
      <w:r w:rsidRPr="0097670D">
        <w:rPr>
          <w:b/>
          <w:bCs/>
          <w:sz w:val="22"/>
          <w:szCs w:val="22"/>
          <w:lang w:eastAsia="en-IE"/>
        </w:rPr>
        <w:t>Study design/methodology/approach</w:t>
      </w:r>
      <w:r w:rsidRPr="0097670D">
        <w:rPr>
          <w:sz w:val="22"/>
          <w:szCs w:val="22"/>
          <w:lang w:eastAsia="en-IE"/>
        </w:rPr>
        <w:t>: Grounded in the existing literature on VCC and DM, we designed and conducted 20 in-depth interviews with doctors (and patients) about their past relationships with patients (and doctors). After putting the recorded interviews through qualitative analysis with a three-level coding activity, we built an empirically informed model to classify patient–physician relationships.</w:t>
      </w:r>
    </w:p>
    <w:p w14:paraId="2679E590" w14:textId="3FDEF2C2" w:rsidR="002147D8" w:rsidRPr="0097670D" w:rsidRDefault="00890C24">
      <w:pPr>
        <w:spacing w:line="480" w:lineRule="auto"/>
        <w:jc w:val="both"/>
        <w:rPr>
          <w:sz w:val="22"/>
          <w:szCs w:val="22"/>
          <w:lang w:eastAsia="en-IE"/>
        </w:rPr>
      </w:pPr>
      <w:r w:rsidRPr="0097670D">
        <w:rPr>
          <w:b/>
          <w:bCs/>
          <w:sz w:val="22"/>
          <w:szCs w:val="22"/>
          <w:lang w:eastAsia="en-IE"/>
        </w:rPr>
        <w:t>Findings</w:t>
      </w:r>
      <w:r w:rsidRPr="0097670D">
        <w:rPr>
          <w:sz w:val="22"/>
          <w:szCs w:val="22"/>
          <w:lang w:eastAsia="en-IE"/>
        </w:rPr>
        <w:t>: We identified four archetypes of patient–physician relationships</w:t>
      </w:r>
      <w:r w:rsidRPr="0097670D">
        <w:rPr>
          <w:sz w:val="22"/>
          <w:szCs w:val="22"/>
        </w:rPr>
        <w:t>. Each archetype is described along with its representing characteristics and explained in terms of its consequences as they relate to VCC and DM.</w:t>
      </w:r>
    </w:p>
    <w:p w14:paraId="2D689783" w14:textId="0BDBD5BE" w:rsidR="002147D8" w:rsidRPr="0097670D" w:rsidRDefault="00890C24">
      <w:pPr>
        <w:spacing w:line="480" w:lineRule="auto"/>
        <w:jc w:val="both"/>
        <w:rPr>
          <w:sz w:val="22"/>
          <w:szCs w:val="22"/>
          <w:lang w:eastAsia="en-IE"/>
        </w:rPr>
      </w:pPr>
      <w:r w:rsidRPr="0097670D">
        <w:rPr>
          <w:b/>
          <w:bCs/>
          <w:sz w:val="22"/>
          <w:szCs w:val="22"/>
          <w:lang w:eastAsia="en-IE"/>
        </w:rPr>
        <w:t>Originality/value</w:t>
      </w:r>
      <w:r w:rsidRPr="0097670D">
        <w:rPr>
          <w:sz w:val="22"/>
          <w:szCs w:val="22"/>
          <w:lang w:eastAsia="en-IE"/>
        </w:rPr>
        <w:t>: Although strictly linked to the interactions between patients and doctors, value co-creation and defensive medicine are typically considered disentangled. In this research paper, we identified four archetypes of patient–physician relationships in relation to these two phenomena.</w:t>
      </w:r>
    </w:p>
    <w:p w14:paraId="20893A09" w14:textId="301185DE" w:rsidR="002147D8" w:rsidRPr="0097670D" w:rsidRDefault="00890C24">
      <w:pPr>
        <w:spacing w:line="480" w:lineRule="auto"/>
        <w:jc w:val="both"/>
        <w:rPr>
          <w:sz w:val="22"/>
          <w:szCs w:val="22"/>
          <w:lang w:eastAsia="en-IE"/>
        </w:rPr>
      </w:pPr>
      <w:r w:rsidRPr="0097670D">
        <w:rPr>
          <w:b/>
          <w:bCs/>
          <w:sz w:val="22"/>
          <w:szCs w:val="22"/>
          <w:lang w:eastAsia="en-IE"/>
        </w:rPr>
        <w:t>Research limitations/implications</w:t>
      </w:r>
      <w:r w:rsidRPr="0097670D">
        <w:rPr>
          <w:sz w:val="22"/>
          <w:szCs w:val="22"/>
          <w:lang w:eastAsia="en-IE"/>
        </w:rPr>
        <w:t>: This research contributes to the literature on both VCC in healthcare and DM, in addition to patient–physician</w:t>
      </w:r>
      <w:r w:rsidR="00B11130" w:rsidRPr="0097670D">
        <w:rPr>
          <w:sz w:val="22"/>
          <w:szCs w:val="22"/>
          <w:lang w:eastAsia="en-IE"/>
        </w:rPr>
        <w:t>’s relationship</w:t>
      </w:r>
      <w:r w:rsidRPr="0097670D">
        <w:rPr>
          <w:sz w:val="22"/>
          <w:szCs w:val="22"/>
          <w:lang w:eastAsia="en-IE"/>
        </w:rPr>
        <w:t xml:space="preserve"> literature.</w:t>
      </w:r>
    </w:p>
    <w:p w14:paraId="4B841CA6" w14:textId="55A8B153" w:rsidR="002147D8" w:rsidRPr="0097670D" w:rsidRDefault="00890C24">
      <w:pPr>
        <w:spacing w:line="480" w:lineRule="auto"/>
        <w:jc w:val="both"/>
        <w:rPr>
          <w:sz w:val="22"/>
          <w:szCs w:val="22"/>
          <w:lang w:eastAsia="en-IE"/>
        </w:rPr>
      </w:pPr>
      <w:r w:rsidRPr="0097670D">
        <w:rPr>
          <w:b/>
          <w:bCs/>
          <w:sz w:val="22"/>
          <w:szCs w:val="22"/>
          <w:lang w:eastAsia="en-IE"/>
        </w:rPr>
        <w:t>Practical implications</w:t>
      </w:r>
      <w:r w:rsidRPr="0097670D">
        <w:rPr>
          <w:sz w:val="22"/>
          <w:szCs w:val="22"/>
          <w:lang w:eastAsia="en-IE"/>
        </w:rPr>
        <w:t>: Being aware of patient–physician relationship mechanics, building long-term relations with patients and investing in service personalization and patient-centred care can effectively</w:t>
      </w:r>
      <w:r w:rsidRPr="0097670D">
        <w:rPr>
          <w:sz w:val="22"/>
          <w:szCs w:val="22"/>
        </w:rPr>
        <w:t xml:space="preserve"> mitigate the risks of DM behaviours on one side while increasing the likelihood of VCC actualization on the other.</w:t>
      </w:r>
    </w:p>
    <w:p w14:paraId="264BDAAE" w14:textId="43A7A83A" w:rsidR="002147D8" w:rsidRPr="0097670D" w:rsidRDefault="00890C24">
      <w:pPr>
        <w:pStyle w:val="Corpotesto"/>
        <w:spacing w:before="0" w:line="480" w:lineRule="auto"/>
        <w:rPr>
          <w:sz w:val="22"/>
          <w:szCs w:val="22"/>
        </w:rPr>
      </w:pPr>
      <w:r w:rsidRPr="0097670D">
        <w:rPr>
          <w:b/>
          <w:sz w:val="22"/>
          <w:szCs w:val="22"/>
        </w:rPr>
        <w:t xml:space="preserve">Keywords: </w:t>
      </w:r>
      <w:r w:rsidRPr="0097670D">
        <w:rPr>
          <w:sz w:val="22"/>
          <w:szCs w:val="22"/>
        </w:rPr>
        <w:t>Value co-creation, Defensive medicine, Patient–physician relationship</w:t>
      </w:r>
    </w:p>
    <w:p w14:paraId="3703ED88" w14:textId="12196C54" w:rsidR="00BC36D6" w:rsidRPr="0097670D" w:rsidRDefault="00BC36D6">
      <w:pPr>
        <w:pStyle w:val="Corpotesto"/>
        <w:spacing w:before="0" w:line="480" w:lineRule="auto"/>
        <w:rPr>
          <w:sz w:val="22"/>
          <w:szCs w:val="22"/>
        </w:rPr>
      </w:pPr>
      <w:r w:rsidRPr="0097670D">
        <w:rPr>
          <w:b/>
          <w:bCs/>
          <w:sz w:val="22"/>
          <w:szCs w:val="22"/>
        </w:rPr>
        <w:t>Paper type:</w:t>
      </w:r>
      <w:r w:rsidRPr="0097670D">
        <w:rPr>
          <w:sz w:val="22"/>
          <w:szCs w:val="22"/>
        </w:rPr>
        <w:t xml:space="preserve"> Research paper</w:t>
      </w:r>
    </w:p>
    <w:p w14:paraId="76DB47A6" w14:textId="77777777" w:rsidR="002147D8" w:rsidRPr="0097670D" w:rsidRDefault="00890C24">
      <w:pPr>
        <w:pStyle w:val="Corpotesto"/>
        <w:spacing w:before="0" w:line="480" w:lineRule="auto"/>
        <w:rPr>
          <w:b/>
          <w:sz w:val="22"/>
          <w:szCs w:val="22"/>
        </w:rPr>
      </w:pPr>
      <w:r w:rsidRPr="0097670D">
        <w:rPr>
          <w:b/>
          <w:bCs/>
          <w:sz w:val="22"/>
          <w:szCs w:val="22"/>
        </w:rPr>
        <w:lastRenderedPageBreak/>
        <w:t>Introduction</w:t>
      </w:r>
    </w:p>
    <w:p w14:paraId="5558B34C" w14:textId="67102E14" w:rsidR="002147D8" w:rsidRPr="0097670D" w:rsidRDefault="00890C24" w:rsidP="0097670D">
      <w:pPr>
        <w:tabs>
          <w:tab w:val="left" w:pos="1180"/>
        </w:tabs>
        <w:spacing w:line="480" w:lineRule="auto"/>
        <w:jc w:val="both"/>
        <w:rPr>
          <w:sz w:val="22"/>
          <w:szCs w:val="22"/>
        </w:rPr>
      </w:pPr>
      <w:r w:rsidRPr="0097670D">
        <w:rPr>
          <w:sz w:val="22"/>
          <w:szCs w:val="22"/>
        </w:rPr>
        <w:t xml:space="preserve">Healthcare is a highly complex service that significantly affects both economies and quality of life worldwide </w:t>
      </w:r>
      <w:r w:rsidRPr="0097670D">
        <w:rPr>
          <w:sz w:val="22"/>
          <w:szCs w:val="22"/>
        </w:rPr>
        <w:fldChar w:fldCharType="begin" w:fldLock="1"/>
      </w:r>
      <w:r w:rsidRPr="0097670D">
        <w:rPr>
          <w:sz w:val="22"/>
          <w:szCs w:val="22"/>
        </w:rPr>
        <w:instrText>ADDIN CSL_CITATION {"citationItems":[{"id":"ITEM-1","itemData":{"DOI":"10.1177/1094670507306682","ISSN":"10946705","abstract":"Health care is an enormously expensive, highly complex, universally used service that significantly affects economies and the quality of daily living. Service management, operations, and marketing scholars have much to offer to a critically important, intellectually challenging, but deeply troubled health care service sector. In this article, the authors use the opportunity they had to study at one of the world's most admired medical institutions- Mayo Clinic-as the basis for discussing the similarities and dissimilarities between health care and other services. The article takes the reader \"inside\" health care. The authors challenge service scholars to consider health care for their research activities and propose areas for future research. © 2007 SAGE Publications.","author":[{"dropping-particle":"","family":"Berry","given":"Leonard L.","non-dropping-particle":"","parse-names":false,"suffix":""},{"dropping-particle":"","family":"Bendapudi","given":"Neeli","non-dropping-particle":"","parse-names":false,"suffix":""}],"container-title":"Journal of Service Research","id":"ITEM-1","issue":"2","issued":{"date-parts":[["2007"]]},"page":"111-122","title":"Health care: A fertile field for service research","type":"article-journal","volume":"10"},"uris":["http://www.mendeley.com/documents/?uuid=f6a9fba7-8fd5-4bae-93b4-34a57a2ad201"]}],"mendeley":{"formattedCitation":"(Berry and Bendapudi, 2007)","plainTextFormattedCitation":"(Berry and Bendapudi, 2007)","previouslyFormattedCitation":"(Berry and Bendapudi, 2007)"},"properties":{"noteIndex":0},"schema":"https://github.com/citation-style-language/schema/raw/master/csl-citation.json"}</w:instrText>
      </w:r>
      <w:r w:rsidRPr="0097670D">
        <w:rPr>
          <w:sz w:val="22"/>
          <w:szCs w:val="22"/>
        </w:rPr>
        <w:fldChar w:fldCharType="separate"/>
      </w:r>
      <w:r w:rsidRPr="0097670D">
        <w:rPr>
          <w:noProof/>
          <w:sz w:val="22"/>
          <w:szCs w:val="22"/>
        </w:rPr>
        <w:t>(Berry and Bendapudi, 2007)</w:t>
      </w:r>
      <w:r w:rsidRPr="0097670D">
        <w:rPr>
          <w:sz w:val="22"/>
          <w:szCs w:val="22"/>
        </w:rPr>
        <w:fldChar w:fldCharType="end"/>
      </w:r>
      <w:r w:rsidRPr="0097670D">
        <w:rPr>
          <w:sz w:val="22"/>
          <w:szCs w:val="22"/>
        </w:rPr>
        <w:t xml:space="preserve">. The recent transformations in this sector have modified how service delivery is carried out by focusing more attention on patients’ values, needs and preferences during clinical decisions in order to achieve better health outcomes </w:t>
      </w:r>
      <w:r w:rsidRPr="0097670D">
        <w:rPr>
          <w:sz w:val="22"/>
          <w:szCs w:val="22"/>
        </w:rPr>
        <w:fldChar w:fldCharType="begin" w:fldLock="1"/>
      </w:r>
      <w:r w:rsidRPr="0097670D">
        <w:rPr>
          <w:sz w:val="22"/>
          <w:szCs w:val="22"/>
        </w:rPr>
        <w:instrText>ADDIN CSL_CITATION {"citationItems":[{"id":"ITEM-1","itemData":{"DOI":"10.1108/JSTP-03-2014-0062","ISSN":"20556225","abstract":"Purpose – The purpose of this paper is to investigate value co-creation processes from the focal dyad of the patient and the physician and how their experiences in the consulting room affect the value that is created. Design/methodology/approach – Semi-structured interviews incorporating the critical incident technique (CIT) were conducted with 8 doctors and 24 outpatients in selected hospitals in Ghana, exploring their experiences during their encounter in the service delivery impacting on the value creating healthcare opportunities. An abductive and thematic analytical approach was used to identify 76 useable critical incidents that had clear consequences on both the outcome of the service and the service experiences of the patient. Findings – The study reveals three critical areas needed to support the value co-creation process and respective elements or activities to be considered during the service encounter. The critical areas comprise of the social context, beliefs and perceptions, and partnership between the focal dyad. The findings also suggests that patients do not consider “getting well” as the only value that they seek, but also the total experiences they go through in the consulting room. Also some physicians find it difficult to accept the recent changes in the patients’ behaviour and attitudes, resulting in knowledge conflict that adversely affects actors’ experiences in the consulting room. Research limitations/implications – The study considered only one of the many professionals in the healthcare delivery, which may affect the true value perceptions of the patient. Practical implications – The study provides service providers understanding of the processes that influence the patients’ experiences and value creation and the changing trends in the patient’s attitudes. The findings suggest a need for providers to take a holistic view of the service delivery and consider the critical areas, which could impact on the overall service outcomes. Originality/value – This study extends the research on CIT to exploring the value co-creating processes in the healthcare setting. This also provides clarity in understanding the interdependence of the two actors and how this is managed as a resource in the value co-creation process at the micro level.","author":[{"dropping-particle":"","family":"Osei-Frimpong","given":"Kofi","non-dropping-particle":"","parse-names":false,"suffix":""},{"dropping-particle":"","family":"Wilson","given":"Alan","non-dropping-particle":"","parse-names":false,"suffix":""},{"dropping-particle":"","family":"Owusu-Frimpong","given":"Nana","non-dropping-particle":"","parse-names":false,"suffix":""}],"container-title":"Journal of Service Theory and Practice","id":"ITEM-1","issue":"4","issued":{"date-parts":[["2015"]]},"page":"443-462","publisher":"Emerald Group Publishing Ltd.","title":"Service experiences and dyadic value co-creation in healthcare service delivery: A CIT approach","type":"article-journal","volume":"25"},"uris":["http://www.mendeley.com/documents/?uuid=750aff3f-5d7a-3b1e-a2a6-cb184581235d"]}],"mendeley":{"formattedCitation":"(Osei-Frimpong et al., 2015)","plainTextFormattedCitation":"(Osei-Frimpong et al., 2015)","previouslyFormattedCitation":"(Osei-Frimpong et al., 2015)"},"properties":{"noteIndex":0},"schema":"https://github.com/citation-style-language/schema/raw/master/csl-citation.json"}</w:instrText>
      </w:r>
      <w:r w:rsidRPr="0097670D">
        <w:rPr>
          <w:sz w:val="22"/>
          <w:szCs w:val="22"/>
        </w:rPr>
        <w:fldChar w:fldCharType="separate"/>
      </w:r>
      <w:r w:rsidRPr="0097670D">
        <w:rPr>
          <w:noProof/>
          <w:sz w:val="22"/>
          <w:szCs w:val="22"/>
        </w:rPr>
        <w:t xml:space="preserve">(Osei-Frimpong </w:t>
      </w:r>
      <w:r w:rsidRPr="0097670D">
        <w:rPr>
          <w:i/>
          <w:iCs/>
          <w:noProof/>
          <w:sz w:val="22"/>
          <w:szCs w:val="22"/>
        </w:rPr>
        <w:t>et al.</w:t>
      </w:r>
      <w:r w:rsidRPr="0097670D">
        <w:rPr>
          <w:noProof/>
          <w:sz w:val="22"/>
          <w:szCs w:val="22"/>
        </w:rPr>
        <w:t>, 2015)</w:t>
      </w:r>
      <w:r w:rsidRPr="0097670D">
        <w:rPr>
          <w:sz w:val="22"/>
          <w:szCs w:val="22"/>
        </w:rPr>
        <w:fldChar w:fldCharType="end"/>
      </w:r>
      <w:r w:rsidRPr="0097670D">
        <w:rPr>
          <w:sz w:val="22"/>
          <w:szCs w:val="22"/>
        </w:rPr>
        <w:t xml:space="preserve">. Traditionally, customers have been viewed as passive recipients, separate and outside the firm </w:t>
      </w:r>
      <w:r w:rsidRPr="0097670D">
        <w:rPr>
          <w:sz w:val="22"/>
          <w:szCs w:val="22"/>
        </w:rPr>
        <w:fldChar w:fldCharType="begin" w:fldLock="1"/>
      </w:r>
      <w:r w:rsidRPr="0097670D">
        <w:rPr>
          <w:sz w:val="22"/>
          <w:szCs w:val="22"/>
        </w:rPr>
        <w:instrText>ADDIN CSL_CITATION {"citationItems":[{"id":"ITEM-1","itemData":{"DOI":"10.1007/s11747-007-0070-0","ISSN":"00920703","abstract":"Central to service-dominant (S-D) logic is the proposition that the customer becomes a co-creator of value. This emphasizes the development of customer-supplier relationships through interaction and dialog. However, research to date suggests relatively little is known about how customers engage in the co-creation of value. In this article, the authors: explore the nature of value co-creation in the context of S-D logic; develop a conceptual framework for understanding and managing value co-creation; and utilize field-based research to illustrate practical application of the framework. This process-based framework provides a structure for customer involvement that takes account of key foundational propositions of S-D logic and places the customer explicitly at the same level of importance as the company as co-creators of value. Synthesis of diverse concepts from research on services, customer value and relationship marketing into a new process-based framework for co-creation provide new insights into managing the process of value co-creation. © Academy of Marketing Science 2007.","author":[{"dropping-particle":"","family":"Payne","given":"Adrian F.","non-dropping-particle":"","parse-names":false,"suffix":""},{"dropping-particle":"","family":"Storbacka","given":"Kaj","non-dropping-particle":"","parse-names":false,"suffix":""},{"dropping-particle":"","family":"Frow","given":"Pennie","non-dropping-particle":"","parse-names":false,"suffix":""}],"container-title":"Journal of the Academy of Marketing Science","id":"ITEM-1","issue":"1","issued":{"date-parts":[["2008"]]},"page":"83-96","title":"Managing the co-creation of value","type":"article-journal","volume":"36"},"uris":["http://www.mendeley.com/documents/?uuid=2c2c566e-ce46-4065-9183-c390441db2df"]}],"mendeley":{"formattedCitation":"(Payne et al., 2008)","plainTextFormattedCitation":"(Payne et al., 2008)","previouslyFormattedCitation":"(Payne et al., 2008)"},"properties":{"noteIndex":0},"schema":"https://github.com/citation-style-language/schema/raw/master/csl-citation.json"}</w:instrText>
      </w:r>
      <w:r w:rsidRPr="0097670D">
        <w:rPr>
          <w:sz w:val="22"/>
          <w:szCs w:val="22"/>
        </w:rPr>
        <w:fldChar w:fldCharType="separate"/>
      </w:r>
      <w:r w:rsidRPr="0097670D">
        <w:rPr>
          <w:noProof/>
          <w:sz w:val="22"/>
          <w:szCs w:val="22"/>
        </w:rPr>
        <w:t xml:space="preserve">(Payne </w:t>
      </w:r>
      <w:r w:rsidRPr="0097670D">
        <w:rPr>
          <w:i/>
          <w:iCs/>
          <w:noProof/>
          <w:sz w:val="22"/>
          <w:szCs w:val="22"/>
        </w:rPr>
        <w:t>et al.</w:t>
      </w:r>
      <w:r w:rsidRPr="0097670D">
        <w:rPr>
          <w:noProof/>
          <w:sz w:val="22"/>
          <w:szCs w:val="22"/>
        </w:rPr>
        <w:t>, 2008)</w:t>
      </w:r>
      <w:r w:rsidRPr="0097670D">
        <w:rPr>
          <w:sz w:val="22"/>
          <w:szCs w:val="22"/>
        </w:rPr>
        <w:fldChar w:fldCharType="end"/>
      </w:r>
      <w:r w:rsidRPr="0097670D">
        <w:rPr>
          <w:sz w:val="22"/>
          <w:szCs w:val="22"/>
        </w:rPr>
        <w:t xml:space="preserve">. The customers, in this specific case the patients, do not merely play a passive role; instead, they assume a fundamental role as co-creators of value </w:t>
      </w:r>
      <w:r w:rsidRPr="0097670D">
        <w:rPr>
          <w:sz w:val="22"/>
          <w:szCs w:val="22"/>
        </w:rPr>
        <w:fldChar w:fldCharType="begin" w:fldLock="1"/>
      </w:r>
      <w:r w:rsidRPr="0097670D">
        <w:rPr>
          <w:sz w:val="22"/>
          <w:szCs w:val="22"/>
        </w:rPr>
        <w:instrText>ADDIN CSL_CITATION {"citationItems":[{"id":"ITEM-1","itemData":{"DOI":"10.1177/1094670512442806","ISSN":"10946705","abstract":"This article explores in-depth what health care customers actually do when they cocreate value. Combining previously published research with data collected from depth interviews, field observation, and focus groups, the authors identify distinct styles of health care customer value cocreation practice. Importantly, the authors show how customers can contribute to their own value creation through their own (self) activities in managing their health care. Building on past work in service-dominant (S-D) logic, consumer culture theory and social practice theory, the authors identify \"roles,\" \"activities,\" and \"interactions\" that underlie customer cocreation of value in health care. The authors uncover five groupings of customer value cocreation practices yielding a typology of practice styles and link these to quality of life. The practice styles are \"team management,\" \"insular controlling,\" \"partnering,\" \"pragmatic adapting,\" and \"passive compliance.\" Two in particular, team management and partnering, should be encouraged by managers as they tend to be associated with higher quality of life. The authors provide a health care Customer Value Cocreation Practice Styles (CVCPS) typology. The usefulness of the typology is demonstrated by showing links to quality of life and its potential application to other health care settings. © The Author(s) 2012.","author":[{"dropping-particle":"","family":"McColl-Kennedy","given":"Janet R.","non-dropping-particle":"","parse-names":false,"suffix":""},{"dropping-particle":"","family":"Vargo","given":"Stephen L.","non-dropping-particle":"","parse-names":false,"suffix":""},{"dropping-particle":"","family":"Dagger","given":"Tracey S.","non-dropping-particle":"","parse-names":false,"suffix":""},{"dropping-particle":"","family":"Sweeney","given":"Jillian C.","non-dropping-particle":"","parse-names":false,"suffix":""},{"dropping-particle":"","family":"Kasteren","given":"Yasmin","non-dropping-particle":"van","parse-names":false,"suffix":""}],"container-title":"Journal of Service Research","id":"ITEM-1","issue":"4","issued":{"date-parts":[["2012","11"]]},"page":"370-389","title":"Health Care Customer Value Cocreation Practice Styles","type":"article-journal","volume":"15"},"uris":["http://www.mendeley.com/documents/?uuid=21604ebe-bf57-3f7f-b4ef-39273b5c26ba"]}],"mendeley":{"formattedCitation":"(McColl-Kennedy et al., 2012)","plainTextFormattedCitation":"(McColl-Kennedy et al., 2012)","previouslyFormattedCitation":"(McColl-Kennedy et al., 2012)"},"properties":{"noteIndex":0},"schema":"https://github.com/citation-style-language/schema/raw/master/csl-citation.json"}</w:instrText>
      </w:r>
      <w:r w:rsidRPr="0097670D">
        <w:rPr>
          <w:sz w:val="22"/>
          <w:szCs w:val="22"/>
        </w:rPr>
        <w:fldChar w:fldCharType="separate"/>
      </w:r>
      <w:r w:rsidRPr="0097670D">
        <w:rPr>
          <w:noProof/>
          <w:sz w:val="22"/>
          <w:szCs w:val="22"/>
        </w:rPr>
        <w:t xml:space="preserve">(McColl-Kennedy </w:t>
      </w:r>
      <w:r w:rsidRPr="0097670D">
        <w:rPr>
          <w:i/>
          <w:iCs/>
          <w:noProof/>
          <w:sz w:val="22"/>
          <w:szCs w:val="22"/>
        </w:rPr>
        <w:t>et al.</w:t>
      </w:r>
      <w:r w:rsidRPr="0097670D">
        <w:rPr>
          <w:noProof/>
          <w:sz w:val="22"/>
          <w:szCs w:val="22"/>
        </w:rPr>
        <w:t>, 2012)</w:t>
      </w:r>
      <w:r w:rsidRPr="0097670D">
        <w:rPr>
          <w:sz w:val="22"/>
          <w:szCs w:val="22"/>
        </w:rPr>
        <w:fldChar w:fldCharType="end"/>
      </w:r>
      <w:r w:rsidRPr="0097670D">
        <w:rPr>
          <w:sz w:val="22"/>
          <w:szCs w:val="22"/>
        </w:rPr>
        <w:t xml:space="preserve"> as they are active participants and collaborative partners in relational exchanges </w:t>
      </w:r>
      <w:r w:rsidRPr="0097670D">
        <w:rPr>
          <w:sz w:val="22"/>
          <w:szCs w:val="22"/>
        </w:rPr>
        <w:fldChar w:fldCharType="begin" w:fldLock="1"/>
      </w:r>
      <w:r w:rsidRPr="0097670D">
        <w:rPr>
          <w:sz w:val="22"/>
          <w:szCs w:val="22"/>
        </w:rPr>
        <w:instrText>ADDIN CSL_CITATION {"citationItems":[{"id":"ITEM-1","itemData":{"DOI":"10.1016/j.jbusres.2012.02.026","ISSN":"01482963","abstract":"This investigation reports a series of four studies leading to the development and validation of a customer value co-creation behavior scale. The scale comprises two dimensions: customer participation behavior and customer citizenship behavior, with each dimension having four components. The elements of customer participation behavior include information seeking, information sharing, responsible behavior, and personal interaction, whereas the aspects of customer citizenship behavior are feedback, advocacy, helping, and tolerance. The scale is multidimensional and hierarchical, and it exhibits internal consistency reliability, construct validity, and nomological validity. This study also shows that customer participation behavior and customer citizenship behavior exhibit different patterns of antecedents and consequences. © 2012 Elsevier Inc.","author":[{"dropping-particle":"","family":"Yi","given":"Youjae","non-dropping-particle":"","parse-names":false,"suffix":""},{"dropping-particle":"","family":"Gong","given":"Taeshik","non-dropping-particle":"","parse-names":false,"suffix":""}],"container-title":"Journal of Business Research","id":"ITEM-1","issue":"9","issued":{"date-parts":[["2013","9"]]},"page":"1279-1284","title":"Customer value co-creation behavior: Scale development and validation","type":"article-journal","volume":"66"},"uris":["http://www.mendeley.com/documents/?uuid=b45d4dde-db89-3949-8b3b-fd7377becebb"]},{"id":"ITEM-2","itemData":{"DOI":"10.1016/j.emj.2008.04.003","ISSN":"02632373","abstract":"The creation of value is the core purpose and central process of economic exchange. Traditional models of value creation focus on the firm's output and price. We present an alternative perspective, one representing the intersection of two growing streams of thought, service science and service-dominant (S-D) logic. We take the view that (1) service, the application of competences (such as knowledge and skills) by one party for the benefit of another, is the underlying basis of exchange; (2) the proper unit of analysis for service-for-service exchange is the service system, which is a configuration of resources (including people, information, and technology) connected to other systems by value propositions; and (3) service science is the study of service systems and of the co-creation of value within complex configurations of resources. We argue that value is fundamentally derived and determined in use - the integration and application of resources in a specific context - rather than in exchange - embedded in firm output and captured by price. Service systems interact through mutual service exchange relationships, improving the adaptability and survivability of all service systems engaged in exchange, by allowing integration of resources that are mutually beneficial. This argument has implications for advancing service science by identifying research questions regarding configurations and processes of value co-creation and measurements of value-in-use, and by developing its ties with economics and other service-oriented disciplines. © 2008 Elsevier Ltd. All rights reserved.","author":[{"dropping-particle":"","family":"Vargo","given":"Stephen L.","non-dropping-particle":"","parse-names":false,"suffix":""},{"dropping-particle":"","family":"Maglio","given":"Paul P.","non-dropping-particle":"","parse-names":false,"suffix":""},{"dropping-particle":"","family":"Akaka","given":"Melissa Archpru","non-dropping-particle":"","parse-names":false,"suffix":""}],"container-title":"European Management Journal","id":"ITEM-2","issue":"3","issued":{"date-parts":[["2008","6"]]},"page":"145-152","title":"On value and value co-creation: A service systems and service logic perspective","type":"article-journal","volume":"26"},"uris":["http://www.mendeley.com/documents/?uuid=57f644c4-b1fc-37ed-a494-e3221e62f241"]}],"mendeley":{"formattedCitation":"(Vargo et al., 2008; Yi and Gong, 2013)","plainTextFormattedCitation":"(Vargo et al., 2008; Yi and Gong, 2013)","previouslyFormattedCitation":"(Vargo et al., 2008; Yi and Gong, 2013)"},"properties":{"noteIndex":0},"schema":"https://github.com/citation-style-language/schema/raw/master/csl-citation.json"}</w:instrText>
      </w:r>
      <w:r w:rsidRPr="0097670D">
        <w:rPr>
          <w:sz w:val="22"/>
          <w:szCs w:val="22"/>
        </w:rPr>
        <w:fldChar w:fldCharType="separate"/>
      </w:r>
      <w:r w:rsidRPr="0097670D">
        <w:rPr>
          <w:noProof/>
          <w:sz w:val="22"/>
          <w:szCs w:val="22"/>
        </w:rPr>
        <w:t xml:space="preserve">(Vargo </w:t>
      </w:r>
      <w:r w:rsidRPr="0097670D">
        <w:rPr>
          <w:i/>
          <w:iCs/>
          <w:noProof/>
          <w:sz w:val="22"/>
          <w:szCs w:val="22"/>
        </w:rPr>
        <w:t>et al.</w:t>
      </w:r>
      <w:r w:rsidRPr="0097670D">
        <w:rPr>
          <w:noProof/>
          <w:sz w:val="22"/>
          <w:szCs w:val="22"/>
        </w:rPr>
        <w:t>, 2008; Yi and Gong, 2013)</w:t>
      </w:r>
      <w:r w:rsidRPr="0097670D">
        <w:rPr>
          <w:sz w:val="22"/>
          <w:szCs w:val="22"/>
        </w:rPr>
        <w:fldChar w:fldCharType="end"/>
      </w:r>
      <w:r w:rsidRPr="0097670D">
        <w:rPr>
          <w:sz w:val="22"/>
          <w:szCs w:val="22"/>
        </w:rPr>
        <w:t xml:space="preserve">, which brings mutual benefits to the involved actors </w:t>
      </w:r>
      <w:r w:rsidRPr="0097670D">
        <w:rPr>
          <w:sz w:val="22"/>
          <w:szCs w:val="22"/>
        </w:rPr>
        <w:fldChar w:fldCharType="begin" w:fldLock="1"/>
      </w:r>
      <w:r w:rsidRPr="0097670D">
        <w:rPr>
          <w:sz w:val="22"/>
          <w:szCs w:val="22"/>
        </w:rPr>
        <w:instrText>ADDIN CSL_CITATION {"citationItems":[{"id":"ITEM-1","itemData":{"DOI":"10.1108/09564231211248435","ISSN":"17575818","abstract":"Purpose: The purpose of this study is to develop and evaluate a model for patient co-creation and learning based on diaries for use in health-care service development. In particular, the study aims to investigate the process of patient co-creation and different mechanisms through which health-care service providers can learn from the patient. Design/methodology/approach: The study is based on an action research approach. First, a development phase for patient co-creation and learning leading to a proposed model was conducted. Second, a test phase of the diary-based method was performed on 53 patients in three cases: orthopaedic care, rehabilitation care and gastroenterology care. Findings: The study suggests a model for co-creation and learning in health-care service development through three learning methods. First, the model may be used as a means for generating and collecting patient ideas; second, a single patient's story can be illustrated and can serve as incentive for health-care service development and creation of patient-centred care; finally, a larger number of diaries can be analysed and combined with patient surveys to provide a deeper understanding of how the patient experiences health care services. Originality/value: This study extends the research on diary-based methods as an operationalisation of co-creation in two ways. First, the study offers new and more diverse ways of using the rich material provided by customer diaries in the development of services. Second, the study suggests a co-creation approach of involving patients in health-care service development through patient diaries. © Emerald Group Publishing Limited.","author":[{"dropping-particle":"","family":"Elg","given":"Mattias","non-dropping-particle":"","parse-names":false,"suffix":""},{"dropping-particle":"","family":"Engström","given":"Jon","non-dropping-particle":"","parse-names":false,"suffix":""},{"dropping-particle":"","family":"Witell","given":"Lars","non-dropping-particle":"","parse-names":false,"suffix":""},{"dropping-particle":"","family":"Poksinska","given":"Bozena","non-dropping-particle":"","parse-names":false,"suffix":""}],"container-title":"Journal of Service Management","id":"ITEM-1","issue":"3","issued":{"date-parts":[["2012","6"]]},"page":"328-343","title":"Co-creation and learning in health-care service development","type":"article-journal","volume":"23"},"uris":["http://www.mendeley.com/documents/?uuid=916c892d-266f-3187-aca4-40aca90ca2c4"]}],"mendeley":{"formattedCitation":"(Elg et al., 2012)","plainTextFormattedCitation":"(Elg et al., 2012)","previouslyFormattedCitation":"(Elg et al., 2012)"},"properties":{"noteIndex":0},"schema":"https://github.com/citation-style-language/schema/raw/master/csl-citation.json"}</w:instrText>
      </w:r>
      <w:r w:rsidRPr="0097670D">
        <w:rPr>
          <w:sz w:val="22"/>
          <w:szCs w:val="22"/>
        </w:rPr>
        <w:fldChar w:fldCharType="separate"/>
      </w:r>
      <w:r w:rsidRPr="0097670D">
        <w:rPr>
          <w:noProof/>
          <w:sz w:val="22"/>
          <w:szCs w:val="22"/>
        </w:rPr>
        <w:t xml:space="preserve">(Elg </w:t>
      </w:r>
      <w:r w:rsidRPr="0097670D">
        <w:rPr>
          <w:i/>
          <w:iCs/>
          <w:noProof/>
          <w:sz w:val="22"/>
          <w:szCs w:val="22"/>
        </w:rPr>
        <w:t>et al.</w:t>
      </w:r>
      <w:r w:rsidRPr="0097670D">
        <w:rPr>
          <w:noProof/>
          <w:sz w:val="22"/>
          <w:szCs w:val="22"/>
        </w:rPr>
        <w:t>, 2012)</w:t>
      </w:r>
      <w:r w:rsidRPr="0097670D">
        <w:rPr>
          <w:sz w:val="22"/>
          <w:szCs w:val="22"/>
        </w:rPr>
        <w:fldChar w:fldCharType="end"/>
      </w:r>
      <w:r w:rsidRPr="0097670D">
        <w:rPr>
          <w:sz w:val="22"/>
          <w:szCs w:val="22"/>
        </w:rPr>
        <w:t>.</w:t>
      </w:r>
    </w:p>
    <w:p w14:paraId="46E35E86" w14:textId="72306894" w:rsidR="002147D8" w:rsidRPr="0097670D" w:rsidRDefault="00890C24">
      <w:pPr>
        <w:tabs>
          <w:tab w:val="left" w:pos="1180"/>
        </w:tabs>
        <w:spacing w:line="480" w:lineRule="auto"/>
        <w:ind w:firstLine="284"/>
        <w:jc w:val="both"/>
        <w:rPr>
          <w:sz w:val="22"/>
          <w:szCs w:val="22"/>
        </w:rPr>
      </w:pPr>
      <w:bookmarkStart w:id="1" w:name="_Hlk61534541"/>
      <w:r w:rsidRPr="0097670D">
        <w:rPr>
          <w:sz w:val="22"/>
          <w:szCs w:val="22"/>
        </w:rPr>
        <w:t xml:space="preserve">A key element for value co-creation </w:t>
      </w:r>
      <w:r w:rsidR="00016761" w:rsidRPr="0097670D">
        <w:rPr>
          <w:sz w:val="22"/>
          <w:szCs w:val="22"/>
        </w:rPr>
        <w:t xml:space="preserve">(VCC) </w:t>
      </w:r>
      <w:r w:rsidRPr="0097670D">
        <w:rPr>
          <w:sz w:val="22"/>
          <w:szCs w:val="22"/>
        </w:rPr>
        <w:t xml:space="preserve">is the interaction between the service provider and customer </w:t>
      </w:r>
      <w:r w:rsidRPr="0097670D">
        <w:rPr>
          <w:sz w:val="22"/>
          <w:szCs w:val="22"/>
        </w:rPr>
        <w:fldChar w:fldCharType="begin" w:fldLock="1"/>
      </w:r>
      <w:r w:rsidRPr="0097670D">
        <w:rPr>
          <w:sz w:val="22"/>
          <w:szCs w:val="22"/>
        </w:rPr>
        <w:instrText>ADDIN CSL_CITATION {"citationItems":[{"id":"ITEM-1","itemData":{"DOI":"10.1007/s11747-012-0308-3","ISSN":"00920703","abstract":"Because extant literature on the service logic of marketing is dominated by a metaphorical view of value co-creation, the roles of both service providers and customers remain analytically unspecified, without a theoretically sound foundation for value creation or co-creation. This article analyzes value creation and co-creation in service by analytically defining the roles of the customer and the firm, as well as the scope, locus, and nature of value and value creation. Value creation refers to customers' creation of value-in-use; co-creation is a function of interaction. Both the firm's and the customer's actions can be categorized by spheres (provider, joint, customer), and their interactions are either direct or indirect, leading to different forms of value creation and co-creation. This conceptualization of value creation spheres extends knowledge about how value-in-use emerges and how value creation can be managed; it also emphasizes the pivotal role of direct interactions for value co-creation opportunities. © 2012 Academy of Marketing Science.","author":[{"dropping-particle":"","family":"Grönroos","given":"Christian","non-dropping-particle":"","parse-names":false,"suffix":""},{"dropping-particle":"","family":"Voima","given":"Päivi","non-dropping-particle":"","parse-names":false,"suffix":""}],"container-title":"Journal of the Academy of Marketing Science","id":"ITEM-1","issue":"2","issued":{"date-parts":[["2013"]]},"page":"133-150","title":"Critical service logic: Making sense of value creation and co-creation","type":"article-journal","volume":"41"},"uris":["http://www.mendeley.com/documents/?uuid=d5b3ccb6-ac3b-46cf-a0c6-75dd01790532"]}],"mendeley":{"formattedCitation":"(Grönroos and Voima, 2013)","plainTextFormattedCitation":"(Grönroos and Voima, 2013)","previouslyFormattedCitation":"(Grönroos and Voima, 2013)"},"properties":{"noteIndex":0},"schema":"https://github.com/citation-style-language/schema/raw/master/csl-citation.json"}</w:instrText>
      </w:r>
      <w:r w:rsidRPr="0097670D">
        <w:rPr>
          <w:sz w:val="22"/>
          <w:szCs w:val="22"/>
        </w:rPr>
        <w:fldChar w:fldCharType="separate"/>
      </w:r>
      <w:r w:rsidRPr="0097670D">
        <w:rPr>
          <w:noProof/>
          <w:sz w:val="22"/>
          <w:szCs w:val="22"/>
        </w:rPr>
        <w:t>(Grönroos and Voima, 2013)</w:t>
      </w:r>
      <w:r w:rsidRPr="0097670D">
        <w:rPr>
          <w:sz w:val="22"/>
          <w:szCs w:val="22"/>
        </w:rPr>
        <w:fldChar w:fldCharType="end"/>
      </w:r>
      <w:r w:rsidRPr="0097670D">
        <w:rPr>
          <w:sz w:val="22"/>
          <w:szCs w:val="22"/>
        </w:rPr>
        <w:t xml:space="preserve">, i.e. the patient–physician relationship in healthcare </w:t>
      </w:r>
      <w:r w:rsidRPr="0097670D">
        <w:rPr>
          <w:sz w:val="22"/>
          <w:szCs w:val="22"/>
        </w:rPr>
        <w:fldChar w:fldCharType="begin" w:fldLock="1"/>
      </w:r>
      <w:r w:rsidRPr="0097670D">
        <w:rPr>
          <w:sz w:val="22"/>
          <w:szCs w:val="22"/>
        </w:rPr>
        <w:instrText>ADDIN CSL_CITATION {"citationItems":[{"id":"ITEM-1","itemData":{"DOI":"10.1108/JSTP-03-2014-0062","ISSN":"20556225","abstract":"Purpose – The purpose of this paper is to investigate value co-creation processes from the focal dyad of the patient and the physician and how their experiences in the consulting room affect the value that is created. Design/methodology/approach – Semi-structured interviews incorporating the critical incident technique (CIT) were conducted with 8 doctors and 24 outpatients in selected hospitals in Ghana, exploring their experiences during their encounter in the service delivery impacting on the value creating healthcare opportunities. An abductive and thematic analytical approach was used to identify 76 useable critical incidents that had clear consequences on both the outcome of the service and the service experiences of the patient. Findings – The study reveals three critical areas needed to support the value co-creation process and respective elements or activities to be considered during the service encounter. The critical areas comprise of the social context, beliefs and perceptions, and partnership between the focal dyad. The findings also suggests that patients do not consider “getting well” as the only value that they seek, but also the total experiences they go through in the consulting room. Also some physicians find it difficult to accept the recent changes in the patients’ behaviour and attitudes, resulting in knowledge conflict that adversely affects actors’ experiences in the consulting room. Research limitations/implications – The study considered only one of the many professionals in the healthcare delivery, which may affect the true value perceptions of the patient. Practical implications – The study provides service providers understanding of the processes that influence the patients’ experiences and value creation and the changing trends in the patient’s attitudes. The findings suggest a need for providers to take a holistic view of the service delivery and consider the critical areas, which could impact on the overall service outcomes. Originality/value – This study extends the research on CIT to exploring the value co-creating processes in the healthcare setting. This also provides clarity in understanding the interdependence of the two actors and how this is managed as a resource in the value co-creation process at the micro level.","author":[{"dropping-particle":"","family":"Osei-Frimpong","given":"Kofi","non-dropping-particle":"","parse-names":false,"suffix":""},{"dropping-particle":"","family":"Wilson","given":"Alan","non-dropping-particle":"","parse-names":false,"suffix":""},{"dropping-particle":"","family":"Owusu-Frimpong","given":"Nana","non-dropping-particle":"","parse-names":false,"suffix":""}],"container-title":"Journal of Service Theory and Practice","id":"ITEM-1","issue":"4","issued":{"date-parts":[["2015"]]},"page":"443-462","publisher":"Emerald Group Publishing Ltd.","title":"Service experiences and dyadic value co-creation in healthcare service delivery: A CIT approach","type":"article-journal","volume":"25"},"uris":["http://www.mendeley.com/documents/?uuid=750aff3f-5d7a-3b1e-a2a6-cb184581235d"]}],"mendeley":{"formattedCitation":"(Osei-Frimpong et al., 2015)","plainTextFormattedCitation":"(Osei-Frimpong et al., 2015)","previouslyFormattedCitation":"(Osei-Frimpong et al., 2015)"},"properties":{"noteIndex":0},"schema":"https://github.com/citation-style-language/schema/raw/master/csl-citation.json"}</w:instrText>
      </w:r>
      <w:r w:rsidRPr="0097670D">
        <w:rPr>
          <w:sz w:val="22"/>
          <w:szCs w:val="22"/>
        </w:rPr>
        <w:fldChar w:fldCharType="separate"/>
      </w:r>
      <w:r w:rsidRPr="0097670D">
        <w:rPr>
          <w:noProof/>
          <w:sz w:val="22"/>
          <w:szCs w:val="22"/>
        </w:rPr>
        <w:t xml:space="preserve">(Osei-Frimpong </w:t>
      </w:r>
      <w:r w:rsidRPr="0097670D">
        <w:rPr>
          <w:i/>
          <w:iCs/>
          <w:noProof/>
          <w:sz w:val="22"/>
          <w:szCs w:val="22"/>
        </w:rPr>
        <w:t>et al.</w:t>
      </w:r>
      <w:r w:rsidRPr="0097670D">
        <w:rPr>
          <w:noProof/>
          <w:sz w:val="22"/>
          <w:szCs w:val="22"/>
        </w:rPr>
        <w:t>, 2015)</w:t>
      </w:r>
      <w:r w:rsidRPr="0097670D">
        <w:rPr>
          <w:sz w:val="22"/>
          <w:szCs w:val="22"/>
        </w:rPr>
        <w:fldChar w:fldCharType="end"/>
      </w:r>
      <w:r w:rsidRPr="0097670D">
        <w:rPr>
          <w:sz w:val="22"/>
          <w:szCs w:val="22"/>
        </w:rPr>
        <w:t>. This relationship, however, which is strongly influenced by the personal traits of both the physician and the patient, other than by other situational conditions, has been demonstrated to be at the base of the phenomenon called “defensive medicine”</w:t>
      </w:r>
      <w:r w:rsidR="00016761" w:rsidRPr="0097670D">
        <w:rPr>
          <w:sz w:val="22"/>
          <w:szCs w:val="22"/>
        </w:rPr>
        <w:t xml:space="preserve"> (DM)</w:t>
      </w:r>
      <w:r w:rsidRPr="0097670D">
        <w:rPr>
          <w:sz w:val="22"/>
          <w:szCs w:val="22"/>
        </w:rPr>
        <w:t xml:space="preserve"> </w:t>
      </w:r>
      <w:r w:rsidRPr="0097670D">
        <w:rPr>
          <w:sz w:val="22"/>
          <w:szCs w:val="22"/>
        </w:rPr>
        <w:fldChar w:fldCharType="begin" w:fldLock="1"/>
      </w:r>
      <w:r w:rsidRPr="0097670D">
        <w:rPr>
          <w:sz w:val="22"/>
          <w:szCs w:val="22"/>
        </w:rPr>
        <w:instrText>ADDIN CSL_CITATION {"citationItems":[{"id":"ITEM-1","itemData":{"DOI":"10.2307/3349487","ISSN":"00263745","PMID":"5060142","author":[{"dropping-particle":"","family":"Hershey","given":"N.","non-dropping-particle":"","parse-names":false,"suffix":""}],"container-title":"The Milbank Memorial Fund quarterly","id":"ITEM-1","issue":"1","issued":{"date-parts":[["1972"]]},"page":"69-98","title":"The defensive practice of medicine. Myth or reality.","type":"article","volume":"50"},"uris":["http://www.mendeley.com/documents/?uuid=3a40483c-3eaf-3b5d-9ac9-641b44ad7bab"]}],"mendeley":{"formattedCitation":"(Hershey, 1972)","plainTextFormattedCitation":"(Hershey, 1972)","previouslyFormattedCitation":"(Hershey, 1972)"},"properties":{"noteIndex":0},"schema":"https://github.com/citation-style-language/schema/raw/master/csl-citation.json"}</w:instrText>
      </w:r>
      <w:r w:rsidRPr="0097670D">
        <w:rPr>
          <w:sz w:val="22"/>
          <w:szCs w:val="22"/>
        </w:rPr>
        <w:fldChar w:fldCharType="separate"/>
      </w:r>
      <w:r w:rsidRPr="0097670D">
        <w:rPr>
          <w:noProof/>
          <w:sz w:val="22"/>
          <w:szCs w:val="22"/>
        </w:rPr>
        <w:t>(Hershey, 1972)</w:t>
      </w:r>
      <w:r w:rsidRPr="0097670D">
        <w:rPr>
          <w:sz w:val="22"/>
          <w:szCs w:val="22"/>
        </w:rPr>
        <w:fldChar w:fldCharType="end"/>
      </w:r>
      <w:r w:rsidRPr="0097670D">
        <w:rPr>
          <w:sz w:val="22"/>
          <w:szCs w:val="22"/>
        </w:rPr>
        <w:t>.</w:t>
      </w:r>
      <w:bookmarkEnd w:id="1"/>
      <w:r w:rsidRPr="0097670D">
        <w:rPr>
          <w:sz w:val="22"/>
          <w:szCs w:val="22"/>
        </w:rPr>
        <w:t xml:space="preserve"> This happens when, for example, the physician tends to give a lot of information to a very demanding patient; on the other side, the physician is aware that, when the patient is highly informed, the risk of a medical lawsuit in case of medical error may increase. The consequence is that the physician will likely behave in a defensive way when curing this patient, for example by prescribing more diagnostic tests than those recommended for that specific clinical case </w:t>
      </w:r>
      <w:r w:rsidRPr="0097670D">
        <w:rPr>
          <w:sz w:val="22"/>
          <w:szCs w:val="22"/>
        </w:rPr>
        <w:fldChar w:fldCharType="begin" w:fldLock="1"/>
      </w:r>
      <w:r w:rsidRPr="0097670D">
        <w:rPr>
          <w:sz w:val="22"/>
          <w:szCs w:val="22"/>
        </w:rPr>
        <w:instrText>ADDIN CSL_CITATION {"citationItems":[{"id":"ITEM-1","itemData":{"DOI":"10.1001/jama.293.21.2609","ISSN":"00987484","abstract":"Context How often physicians alter their clinical behavior because of the threat of malpractice liability, termed defensive medicine, and the consequences of those changes, are central questions in the ongoing medical malpractice reform debate. Objective To study the prevalence and characteristics of defensive medicine among physicians practicing in high-liability specialties during a period of substantial instability in the malpractice environment. Design, Setting, and Participants Mail survey of physicians in 6 specialties at high risk of litigation (emergency medicine, general surgery, orthopedic surgery, neurosurgery, obstetrics/gynecology, and radiology) in Pennsylvania in May 2003. Main Outcome Measures Number of physicians in each specialty reporting defensive medicine or changes in scope of practice and characteristics of defensive medicine (assurance and avoidance behavior). Results A total of 824 physicians (65%) completed the survey. Nearly all (93%) reported practicing defensive medicine. \"Assurance behavior\" such as ordering tests, performing diagnostic procedures, and referring patients for consultation, was very common (92%). Among practitioners of defensive medicine who detailed their most recent defensive act, 43% reported using imaging technology in clinically unnecessary circumstances. Avoidance of procedures and patients that were perceived to elevate the probability of litigation was also widespread. Forty-two percent of respondents reported that they had taken steps to restrict their practice in the previous 3 years, including eliminating procedures prone to complications, such as trauma surgery, and avoiding patients who had complex medical problems or were perceived as litigious. Defensive practice correlated strongly with respondents' lack of confidence in their liability insurance and perceived burden of insurance premiums. Conclusion Defensive medicine is highly prevalent among physicians in Pennsylvania who pay the most for liability insurance, with potentially serious implications for cost, access, and both technical and interpersonal quality of care.","author":[{"dropping-particle":"","family":"Studdert","given":"David M.","non-dropping-particle":"","parse-names":false,"suffix":""},{"dropping-particle":"","family":"Mello","given":"Michelle M.","non-dropping-particle":"","parse-names":false,"suffix":""},{"dropping-particle":"","family":"Sage","given":"William M.","non-dropping-particle":"","parse-names":false,"suffix":""},{"dropping-particle":"","family":"DesRoches","given":"Catherine M.","non-dropping-particle":"","parse-names":false,"suffix":""},{"dropping-particle":"","family":"Peugh","given":"Jordon","non-dropping-particle":"","parse-names":false,"suffix":""},{"dropping-particle":"","family":"Zapert","given":"Kinga","non-dropping-particle":"","parse-names":false,"suffix":""},{"dropping-particle":"","family":"Brennan","given":"Troyen A.","non-dropping-particle":"","parse-names":false,"suffix":""}],"container-title":"Journal of the American Medical Association","id":"ITEM-1","issue":"21","issued":{"date-parts":[["2005"]]},"page":"2609-2617","title":"Defensive medicine among high-risk specialist physicians in a volatile malpractice environment","type":"article-journal","volume":"293"},"uris":["http://www.mendeley.com/documents/?uuid=4c4e5e25-4a8c-3a94-a442-3a30fea3e173"]}],"mendeley":{"formattedCitation":"(Studdert et al., 2005)","plainTextFormattedCitation":"(Studdert et al., 2005)","previouslyFormattedCitation":"(Studdert et al., 2005)"},"properties":{"noteIndex":0},"schema":"https://github.com/citation-style-language/schema/raw/master/csl-citation.json"}</w:instrText>
      </w:r>
      <w:r w:rsidRPr="0097670D">
        <w:rPr>
          <w:sz w:val="22"/>
          <w:szCs w:val="22"/>
        </w:rPr>
        <w:fldChar w:fldCharType="separate"/>
      </w:r>
      <w:r w:rsidRPr="0097670D">
        <w:rPr>
          <w:noProof/>
          <w:sz w:val="22"/>
          <w:szCs w:val="22"/>
        </w:rPr>
        <w:t xml:space="preserve">(Studdert </w:t>
      </w:r>
      <w:r w:rsidRPr="0097670D">
        <w:rPr>
          <w:i/>
          <w:iCs/>
          <w:noProof/>
          <w:sz w:val="22"/>
          <w:szCs w:val="22"/>
        </w:rPr>
        <w:t>et al.</w:t>
      </w:r>
      <w:r w:rsidRPr="0097670D">
        <w:rPr>
          <w:noProof/>
          <w:sz w:val="22"/>
          <w:szCs w:val="22"/>
        </w:rPr>
        <w:t>, 2005)</w:t>
      </w:r>
      <w:r w:rsidRPr="0097670D">
        <w:rPr>
          <w:sz w:val="22"/>
          <w:szCs w:val="22"/>
        </w:rPr>
        <w:fldChar w:fldCharType="end"/>
      </w:r>
      <w:r w:rsidRPr="0097670D">
        <w:rPr>
          <w:sz w:val="22"/>
          <w:szCs w:val="22"/>
        </w:rPr>
        <w:t>. This deviation from natural medical practice is mainly driven by the risk of lawsuits and can be fomented according to the type of relationship that has been established between doctor and patient.</w:t>
      </w:r>
    </w:p>
    <w:p w14:paraId="1BAE1472" w14:textId="4F771FA6" w:rsidR="002147D8" w:rsidRPr="0097670D" w:rsidRDefault="00890C24">
      <w:pPr>
        <w:tabs>
          <w:tab w:val="left" w:pos="1180"/>
        </w:tabs>
        <w:spacing w:line="480" w:lineRule="auto"/>
        <w:ind w:firstLine="284"/>
        <w:jc w:val="both"/>
        <w:rPr>
          <w:sz w:val="22"/>
          <w:szCs w:val="22"/>
        </w:rPr>
      </w:pPr>
      <w:r w:rsidRPr="0097670D">
        <w:rPr>
          <w:sz w:val="22"/>
          <w:szCs w:val="22"/>
        </w:rPr>
        <w:t xml:space="preserve">Although it is an old practice, in the last two decades, defensive medicine behaviour has been growing and spreading due to the introduction of legislative regulations which increase medical professionals’ exposure to greater legal liabilities </w:t>
      </w:r>
      <w:r w:rsidRPr="0097670D">
        <w:rPr>
          <w:sz w:val="22"/>
          <w:szCs w:val="22"/>
        </w:rPr>
        <w:fldChar w:fldCharType="begin" w:fldLock="1"/>
      </w:r>
      <w:r w:rsidRPr="0097670D">
        <w:rPr>
          <w:sz w:val="22"/>
          <w:szCs w:val="22"/>
        </w:rPr>
        <w:instrText>ADDIN CSL_CITATION {"citationItems":[{"id":"ITEM-1","itemData":{"DOI":"10.12998/wjcc.v6.i11.447","ISSN":"2307-8960","abstract":"I WJCC|www.wjgnet.com July 16, 2017|Volume 5|Issue 7| MINIREVIEWS 258 New Zippi M, Hong W, Crispino P, Traversa G 264 Screening - old Pavlovic M, Berenji K, Bukurov M 270 Practical Nayak R ORIGINAL ARTICLE Retrospective Study 280 Feasibility Yamamiya A, Kitamura K, Ishii Y, Mitsui Y, Nomoto T, Yoshida H SYSTEMATIC REVIEWS 286 Diagnostic Kanzara T, Virk JS CASE REPORT 292 Post : Literature Pescatori L, Tropeano MP, Mancarella C, Prizio E, Santoro G, Domenicucci M 299 Rare Luongo M 303 Is ?","author":[{"dropping-particle":"","family":"Vento","given":"Sandro","non-dropping-particle":"","parse-names":false,"suffix":""},{"dropping-particle":"","family":"Cainelli","given":"Francesca","non-dropping-particle":"","parse-names":false,"suffix":""},{"dropping-particle":"","family":"Vallone","given":"Alfredo","non-dropping-particle":"","parse-names":false,"suffix":""}],"container-title":"World Journal of Clinical Cases","id":"ITEM-1","issue":"9","issued":{"date-parts":[["2018"]]},"page":"157-164","title":"Defensive medicine: It is time to finally slow down an epidemic","type":"article-journal","volume":"9"},"uris":["http://www.mendeley.com/documents/?uuid=6ddf2100-cc41-34aa-ace5-1fefbae79ea6"]}],"mendeley":{"formattedCitation":"(Vento et al., 2018)","plainTextFormattedCitation":"(Vento et al., 2018)","previouslyFormattedCitation":"(Vento et al., 2018)"},"properties":{"noteIndex":0},"schema":"https://github.com/citation-style-language/schema/raw/master/csl-citation.json"}</w:instrText>
      </w:r>
      <w:r w:rsidRPr="0097670D">
        <w:rPr>
          <w:sz w:val="22"/>
          <w:szCs w:val="22"/>
        </w:rPr>
        <w:fldChar w:fldCharType="separate"/>
      </w:r>
      <w:r w:rsidRPr="0097670D">
        <w:rPr>
          <w:noProof/>
          <w:sz w:val="22"/>
          <w:szCs w:val="22"/>
        </w:rPr>
        <w:t xml:space="preserve">(Vento </w:t>
      </w:r>
      <w:r w:rsidRPr="0097670D">
        <w:rPr>
          <w:i/>
          <w:iCs/>
          <w:noProof/>
          <w:sz w:val="22"/>
          <w:szCs w:val="22"/>
        </w:rPr>
        <w:t>et al.</w:t>
      </w:r>
      <w:r w:rsidRPr="0097670D">
        <w:rPr>
          <w:noProof/>
          <w:sz w:val="22"/>
          <w:szCs w:val="22"/>
        </w:rPr>
        <w:t>, 2018)</w:t>
      </w:r>
      <w:r w:rsidRPr="0097670D">
        <w:rPr>
          <w:sz w:val="22"/>
          <w:szCs w:val="22"/>
        </w:rPr>
        <w:fldChar w:fldCharType="end"/>
      </w:r>
      <w:r w:rsidRPr="0097670D">
        <w:rPr>
          <w:sz w:val="22"/>
          <w:szCs w:val="22"/>
        </w:rPr>
        <w:t xml:space="preserve">. The rise in the risk of medical lawsuits has been so tremendous that the former President of the United States, Donald </w:t>
      </w:r>
      <w:r w:rsidRPr="0097670D">
        <w:rPr>
          <w:sz w:val="22"/>
          <w:szCs w:val="22"/>
        </w:rPr>
        <w:lastRenderedPageBreak/>
        <w:t>Trump, very recently signed a new law that provides additional federal liability protections for volunteer healthcare professionals during the COVID-19 emergency response</w:t>
      </w:r>
      <w:r w:rsidRPr="0097670D">
        <w:rPr>
          <w:rStyle w:val="Rimandonotaapidipagina"/>
        </w:rPr>
        <w:footnoteReference w:id="1"/>
      </w:r>
      <w:r w:rsidRPr="0097670D">
        <w:rPr>
          <w:sz w:val="22"/>
          <w:szCs w:val="22"/>
        </w:rPr>
        <w:t>.</w:t>
      </w:r>
    </w:p>
    <w:p w14:paraId="0053241F" w14:textId="3AF0BD33" w:rsidR="002147D8" w:rsidRPr="0097670D" w:rsidRDefault="00890C24">
      <w:pPr>
        <w:tabs>
          <w:tab w:val="left" w:pos="1180"/>
        </w:tabs>
        <w:spacing w:line="480" w:lineRule="auto"/>
        <w:ind w:firstLine="284"/>
        <w:jc w:val="both"/>
        <w:rPr>
          <w:sz w:val="22"/>
          <w:szCs w:val="22"/>
        </w:rPr>
      </w:pPr>
      <w:r w:rsidRPr="0097670D">
        <w:rPr>
          <w:sz w:val="22"/>
          <w:szCs w:val="22"/>
        </w:rPr>
        <w:t xml:space="preserve">The healthcare management literature is united in recognizing the crucial role of the patient–physician relationship for achieving the best results in medical service </w:t>
      </w:r>
      <w:r w:rsidRPr="0097670D">
        <w:rPr>
          <w:sz w:val="22"/>
          <w:szCs w:val="22"/>
        </w:rPr>
        <w:fldChar w:fldCharType="begin" w:fldLock="1"/>
      </w:r>
      <w:r w:rsidRPr="0097670D">
        <w:rPr>
          <w:sz w:val="22"/>
          <w:szCs w:val="22"/>
        </w:rPr>
        <w:instrText>ADDIN CSL_CITATION {"citationItems":[{"id":"ITEM-1","itemData":{"DOI":"10.1362/147539207x223357","ISSN":"14753928","abstract":"Since the 1970s, services marketing has grown into a major subdiscipline of marketing. It is constantly claimed - but is refuted in the article - that services are now the dominant economic activity in developed countries and keeps growing while the two traditional goods sectors, manufacturing and agriculture, are declining. An unsolved problem that has been swept under the carpet is the fact that goods and services always appear together. An international debate on the content of services marketing and marketing in general is in progress, especially fuelled by the service-dominant logic suggested by Vargo and Lusch (2004a). This new logic is a synthesis of knowledge and ideas that have been brewing over many decades. Among its tenets are that customers are not buying goods or services but value propositions to be of service to them, that customers are co-creators, and that value is actualised in the customer usage process rather than in the supplier value chain. The purpose of the article is to help break a deadlock of taken-for-granted \"truths\" in marketing, stimulate the emergence of more valid and relevant marketing theory and even uncover the inner secrets of marketing, its genome. In fulfilling this purpose the author points to the need to rethink several marketing-related issues, among them the economic sectors; alleged differences between goods and services; where and when marketing occurs; the interdependence between quality, productivity and profits; the roles of supplier and customer; the importance of customer-to-customer interaction (C2C); the high tech/high touch balance; the marketing mix; and relational and interactive approaches to marketing. Finally, the article questions the relevance of the marketing concept and customer centricity, advocating the need to apply \"balanced centricity\" and a stakeholder and network approach, epitomised by the author's concept many-to-many marketing. ABSTRACT FROM AUTHOR]; Copyright of Journal of Customer Behaviour is the property of Westburn Publishers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Abstracts.)","author":[{"dropping-particle":"","family":"Gummesson","given":"Evert","non-dropping-particle":"","parse-names":false,"suffix":""}],"container-title":"Journal of Customer Behaviour","id":"ITEM-1","issue":"2","issued":{"date-parts":[["2007"]]},"page":"113-141","title":"Exit services marketing - enter service marketing","type":"article-journal","volume":"6"},"uris":["http://www.mendeley.com/documents/?uuid=0b97a02d-b910-4a0a-9399-5c9862c14e66"]},{"id":"ITEM-2","itemData":{"DOI":"10.1016/j.jom.2016.10.001","ISSN":"02726963","abstract":"In services, which require significant customer participation to create value, customers who lack the knowledge, skills and motivation necessary to participate effectively can negatively impact service quality and cost outcomes. This paper develops a conceptual model to investigate the effectiveness of utilizing customer training and education (CTE) to improve customer readiness to provide effective behaviors in a professional service. The model was tested using survey data from patients diagnosed with diabetes who received CTE as part of their healthcare service. We found that customers who are taught why they have to perform the tasks, have higher levels of motivation to perform these tasks effectively. Further, as proposed by the customer readiness model, when their task performance is higher, they have improved health and lower healthcare costs.","author":[{"dropping-particle":"","family":"Damali","given":"Uzay","non-dropping-particle":"","parse-names":false,"suffix":""},{"dropping-particle":"","family":"Miller","given":"Janis L.","non-dropping-particle":"","parse-names":false,"suffix":""},{"dropping-particle":"","family":"Fredendall","given":"Lawrence D.","non-dropping-particle":"","parse-names":false,"suffix":""},{"dropping-particle":"","family":"Moore","given":"De Wayne","non-dropping-particle":"","parse-names":false,"suffix":""},{"dropping-particle":"","family":"Dye","given":"Cheryl J.","non-dropping-particle":"","parse-names":false,"suffix":""}],"container-title":"Journal of Operations Management","id":"ITEM-2","issued":{"date-parts":[["2016","11","1"]]},"page":"80-97","publisher":"Elsevier B.V.","title":"Co-creating value using customer training and education in a healthcare service design","type":"article-journal","volume":"47-48"},"uris":["http://www.mendeley.com/documents/?uuid=11d74e84-e4b0-3392-a886-2371c8774f4e"]},{"id":"ITEM-3","itemData":{"DOI":"10.1080/14719037.2014.881539","ISSN":"14719045","abstract":"Abstract: Patient engagement has gained increasing prominence within academic literatures and policy discourse. With limited developments in practice, most extant academic contributions are conceptual, with initiatives in the National Health Service (NHS) concentrating at macro- rather than at micro-level. This may be one reason why the issue of ‘value co-creation’ has received limited attention within academic discussions of patient engagement or policy pronouncements. Drawing on emerging ideas in the services marketing and public management literatures, this article offers the first elucidation of the importance of studying ‘value co-creation’ as a basis for further empirical analysis of patient engagement in micro-level encounters.","author":[{"dropping-particle":"","family":"Hardyman","given":"Wendy","non-dropping-particle":"","parse-names":false,"suffix":""},{"dropping-particle":"","family":"Daunt","given":"Kate L.","non-dropping-particle":"","parse-names":false,"suffix":""},{"dropping-particle":"","family":"Kitchener","given":"Martin","non-dropping-particle":"","parse-names":false,"suffix":""}],"container-title":"Public Management Review","id":"ITEM-3","issue":"1","issued":{"date-parts":[["2015","1","2"]]},"page":"90-107","publisher":"Taylor and Francis Ltd.","title":"Value Co-Creation through Patient Engagement in Health Care: A micro-level approach and research agenda","type":"article-journal","volume":"17"},"uris":["http://www.mendeley.com/documents/?uuid=d6fe2bea-2bb0-399e-af74-6765353110d2"]},{"id":"ITEM-4","itemData":{"DOI":"10.1108/03090560610681014","ISSN":"03090566","abstract":"Purpose - Several trends such as improved access to health care information via the internet, the growth of self-help groups and expenditure on alternative medicine signals consumers are taking an active role in their own health management. Chronic illnesses such as diabetes and asthma require a significant amount of self-management and thus call for a collaborative patient-physician relationship. This study explores whether empowering patient-physician consultations measured through three patient empowerment dimensions (patient control, patient participation, physician support) enhance patients trust in and commitment to their physician. Design/methodology/ approach - A comprehensive mail survey of adults registered with one of four different chronic illness associations in Australia was conducted to collect the data. Findings - The structural equation modelling results show that patients are more trusting of and committed to physicians who adopt an empowering communication style with them. Research limitations/implications - This study focuses on the Australian healthcare context. Thus, future multinational studies should explore suitable strategies to empower healthcare consumers that build on the constraints placed by diverse healthcare systems. Practical implications - In a managed health care and cost cutting climate where patient trust is deteriorating, these findings suggest that empowering patients presents a means to improve the patient-physician relationship. Originality/value - Whilst numerous marketing scholars have researched the empowerment of staff, there is a shortage of studies that address the meaning and outcomes of consumer empowerment. This study proposes a unique communication based consumer empowerment construct which is shown to impact on consumer-service provider relationships. © Emerald Group Publishing Limited.","author":[{"dropping-particle":"","family":"Ouschan","given":"Robyn","non-dropping-particle":"","parse-names":false,"suffix":""},{"dropping-particle":"","family":"Sweeney","given":"Jillian","non-dropping-particle":"","parse-names":false,"suffix":""},{"dropping-particle":"","family":"Johnson","given":"Lester","non-dropping-particle":"","parse-names":false,"suffix":""}],"container-title":"European Journal of Marketing","id":"ITEM-4","issue":"9-10","issued":{"date-parts":[["2006"]]},"page":"1068-1086","title":"Customer empowerment and relationship outcomes in healthcare consultations","type":"article-journal","volume":"40"},"uris":["http://www.mendeley.com/documents/?uuid=54b14703-1e8a-41a8-a83e-9e63ed3d661a"]},{"id":"ITEM-5","itemData":{"DOI":"10.1108/JSTP-03-2014-0062","ISSN":"20556225","abstract":"Purpose – The purpose of this paper is to investigate value co-creation processes from the focal dyad of the patient and the physician and how their experiences in the consulting room affect the value that is created. Design/methodology/approach – Semi-structured interviews incorporating the critical incident technique (CIT) were conducted with 8 doctors and 24 outpatients in selected hospitals in Ghana, exploring their experiences during their encounter in the service delivery impacting on the value creating healthcare opportunities. An abductive and thematic analytical approach was used to identify 76 useable critical incidents that had clear consequences on both the outcome of the service and the service experiences of the patient. Findings – The study reveals three critical areas needed to support the value co-creation process and respective elements or activities to be considered during the service encounter. The critical areas comprise of the social context, beliefs and perceptions, and partnership between the focal dyad. The findings also suggests that patients do not consider “getting well” as the only value that they seek, but also the total experiences they go through in the consulting room. Also some physicians find it difficult to accept the recent changes in the patients’ behaviour and attitudes, resulting in knowledge conflict that adversely affects actors’ experiences in the consulting room. Research limitations/implications – The study considered only one of the many professionals in the healthcare delivery, which may affect the true value perceptions of the patient. Practical implications – The study provides service providers understanding of the processes that influence the patients’ experiences and value creation and the changing trends in the patient’s attitudes. The findings suggest a need for providers to take a holistic view of the service delivery and consider the critical areas, which could impact on the overall service outcomes. Originality/value – This study extends the research on CIT to exploring the value co-creating processes in the healthcare setting. This also provides cla</w:instrText>
      </w:r>
      <w:r w:rsidRPr="0097670D">
        <w:rPr>
          <w:sz w:val="22"/>
          <w:lang w:val="fr-FR"/>
        </w:rPr>
        <w:instrText>rity in understanding the interdependence of the two actors and how this is managed as a resource in the value co-creation process at the micro level.","author":[{"dropping-particle":"","family":"Osei-Frimpong","given":"Kofi","non-dropping-particle":"","parse-names":false,"suffix":""},{"dropping-particle":"","family":"Wilson","given":"Alan","non-dropping-particle":"","parse-names":false,"suffix":""},{"dropping-particle":"","family":"Owusu-Frimpong","given":"Nana","non-dropping-particle":"","parse-names":false,"suffix":""}],"container-title":"Journal of Service Theory and Practice","id":"ITEM-5","issue":"4","issued":{"date-parts":[["2015"]]},"page":"443-462","publisher":"Emerald Group Publishing Ltd.","title":"Service experiences and dyadic value co-creation in healthcare service delivery: A CIT approach","type":"article-journal","volume":"25"},"uris":["http://www.mendeley.com/documents/?uuid=750aff3f-5d7a-3b1e-a2a6-cb184581235d"]}],"mendeley":{"formattedCitation":"(Damali et al., 2016; Gummesson, 2007; Hardyman et al., 2015; Osei-Frimpong et al., 2015; Ouschan et al., 2006)","plainTextFormattedCitation":"(Damali et al., 2016; Gummesson, 2007; Hardyman et al., 2015; Osei-Frimpong et al., 2015; Ouschan et al., 2006)","previouslyFormattedCitation":"(Damali et al., 2016; Gummesson, 2007; Hardyman et al., 2015; Osei-Frimpong et al., 2015; Ouschan et al., 2006)"},"properties":{"noteIndex":0},"schema":"https://github.com/citation-style-language/schema/raw/master/csl-citation.json"}</w:instrText>
      </w:r>
      <w:r w:rsidRPr="0097670D">
        <w:rPr>
          <w:sz w:val="22"/>
          <w:szCs w:val="22"/>
        </w:rPr>
        <w:fldChar w:fldCharType="separate"/>
      </w:r>
      <w:r w:rsidRPr="0097670D">
        <w:rPr>
          <w:noProof/>
          <w:sz w:val="22"/>
          <w:lang w:val="fr-FR"/>
        </w:rPr>
        <w:t xml:space="preserve">(Damali </w:t>
      </w:r>
      <w:r w:rsidRPr="0097670D">
        <w:rPr>
          <w:i/>
          <w:iCs/>
          <w:noProof/>
          <w:sz w:val="22"/>
          <w:lang w:val="fr-FR"/>
        </w:rPr>
        <w:t>et al.</w:t>
      </w:r>
      <w:r w:rsidRPr="0097670D">
        <w:rPr>
          <w:noProof/>
          <w:sz w:val="22"/>
          <w:lang w:val="fr-FR"/>
        </w:rPr>
        <w:t xml:space="preserve">, 2016; Gummesson, 2007; Hardyman </w:t>
      </w:r>
      <w:r w:rsidRPr="0097670D">
        <w:rPr>
          <w:i/>
          <w:iCs/>
          <w:noProof/>
          <w:sz w:val="22"/>
          <w:lang w:val="fr-FR"/>
        </w:rPr>
        <w:t>et al.</w:t>
      </w:r>
      <w:r w:rsidRPr="0097670D">
        <w:rPr>
          <w:noProof/>
          <w:sz w:val="22"/>
          <w:lang w:val="fr-FR"/>
        </w:rPr>
        <w:t xml:space="preserve">, 2015; Osei-Frimpong </w:t>
      </w:r>
      <w:r w:rsidRPr="0097670D">
        <w:rPr>
          <w:i/>
          <w:iCs/>
          <w:noProof/>
          <w:sz w:val="22"/>
          <w:lang w:val="fr-FR"/>
        </w:rPr>
        <w:t>et al.</w:t>
      </w:r>
      <w:r w:rsidRPr="0097670D">
        <w:rPr>
          <w:noProof/>
          <w:sz w:val="22"/>
          <w:lang w:val="fr-FR"/>
        </w:rPr>
        <w:t xml:space="preserve">, 2015; Ouschan </w:t>
      </w:r>
      <w:r w:rsidRPr="0097670D">
        <w:rPr>
          <w:i/>
          <w:iCs/>
          <w:noProof/>
          <w:sz w:val="22"/>
          <w:lang w:val="fr-FR"/>
        </w:rPr>
        <w:t>et al.</w:t>
      </w:r>
      <w:r w:rsidRPr="0097670D">
        <w:rPr>
          <w:noProof/>
          <w:sz w:val="22"/>
          <w:lang w:val="fr-FR"/>
        </w:rPr>
        <w:t>, 2006)</w:t>
      </w:r>
      <w:r w:rsidRPr="0097670D">
        <w:rPr>
          <w:sz w:val="22"/>
          <w:szCs w:val="22"/>
        </w:rPr>
        <w:fldChar w:fldCharType="end"/>
      </w:r>
      <w:r w:rsidRPr="0097670D">
        <w:rPr>
          <w:sz w:val="22"/>
          <w:lang w:val="fr-FR"/>
        </w:rPr>
        <w:t xml:space="preserve">. </w:t>
      </w:r>
      <w:r w:rsidRPr="0097670D">
        <w:rPr>
          <w:sz w:val="22"/>
          <w:szCs w:val="22"/>
        </w:rPr>
        <w:t xml:space="preserve">Each relationship is unique because it depends on the purpose, context, and specific expectations of all the involved parties </w:t>
      </w:r>
      <w:r w:rsidRPr="0097670D">
        <w:rPr>
          <w:sz w:val="22"/>
          <w:szCs w:val="22"/>
        </w:rPr>
        <w:fldChar w:fldCharType="begin" w:fldLock="1"/>
      </w:r>
      <w:r w:rsidRPr="0097670D">
        <w:rPr>
          <w:sz w:val="22"/>
          <w:szCs w:val="22"/>
        </w:rPr>
        <w:instrText>ADDIN CSL_CITATION {"citationItems":[{"id":"ITEM-1","itemData":{"author":[{"dropping-particle":"","family":"Hui EC.","given":"","non-dropping-particle":"","parse-names":false,"suffix":""}],"container-title":"Hong Kong Medical Journal","id":"ITEM-1","issue":"3","issued":{"date-parts":[["2005"]]},"page":"222-223","title":"The centrality of patient-physician relationship to medical professionalism: An ethical evaluation of some contemporary models","type":"article-journal","volume":"11"},"uris":["http://www.mendeley.com/documents/?uuid=84fcf381-2710-4374-b502-22e7b7914db1"]}],"mendeley":{"formattedCitation":"(Hui EC., 2005)","plainTextFormattedCitation":"(Hui EC., 2005)","previouslyFormattedCitation":"(Hui EC., 2005)"},"properties":{"noteIndex":0},"schema":"https://github.com/citation-style-language/schema/raw/master/csl-citation.json"}</w:instrText>
      </w:r>
      <w:r w:rsidRPr="0097670D">
        <w:rPr>
          <w:sz w:val="22"/>
          <w:szCs w:val="22"/>
        </w:rPr>
        <w:fldChar w:fldCharType="separate"/>
      </w:r>
      <w:r w:rsidRPr="0097670D">
        <w:rPr>
          <w:noProof/>
          <w:sz w:val="22"/>
          <w:szCs w:val="22"/>
        </w:rPr>
        <w:t>(Hui EC., 2005)</w:t>
      </w:r>
      <w:r w:rsidRPr="0097670D">
        <w:rPr>
          <w:sz w:val="22"/>
          <w:szCs w:val="22"/>
        </w:rPr>
        <w:fldChar w:fldCharType="end"/>
      </w:r>
      <w:r w:rsidRPr="0097670D">
        <w:rPr>
          <w:sz w:val="22"/>
          <w:szCs w:val="22"/>
        </w:rPr>
        <w:t xml:space="preserve">. For these reasons, different patient–physician models have been identified in the literature to reflect the wide spectrum of clinical encounters </w:t>
      </w:r>
      <w:r w:rsidRPr="0097670D">
        <w:rPr>
          <w:sz w:val="22"/>
          <w:szCs w:val="22"/>
        </w:rPr>
        <w:fldChar w:fldCharType="begin" w:fldLock="1"/>
      </w:r>
      <w:r w:rsidR="00686DE6" w:rsidRPr="0097670D">
        <w:rPr>
          <w:sz w:val="22"/>
          <w:szCs w:val="22"/>
        </w:rPr>
        <w:instrText>ADDIN CSL_CITATION {"citationItems":[{"id":"ITEM-1","itemData":{"DOI":"10.1016/j.socscimed.2006.11.002","ISSN":"02779536","abstract":"A number of trends, pressures and policy shifts can be identified that are promoting greater patient involvement in health care delivery through consultations, treatments and continuing care. However, while the literature is growing fast on different methods of involvement, little attention has been given so far to the role which patients themselves wish to play, nor even of the conceptual meanings behind involvement or participation. This article reviews the current models of involvement in health care delivery as derived from studies of professional views of current and potential practice, prior to examining the empirical evidence from a large-scale qualitative study of the views and preferences of citizens, as patients, members of voluntary groups, or neither. Individual domiciliary interviews were carried out with 44 people recruited from GP practices in northern England. These respondents were then included in a second phase of 34 focus groups in 6 different localities in northern and southern England, of which 22 were with individuals unaffiliated to any voluntary/community groups, 6 related to local voluntary/community groups with specific interests in health or health care, and 6 related to groups without such specific interests. A final set of 12 workshops with the same samples helped to confirm emergent themes. The qualitative data enabled a taxonomy of patient-desired involvement to be derived, which is contrasted with professional-determined levels of involvement identified from the literature. Participation is seen as being co-determined by patients and professionals, and occurring only through the reciprocal relationships of dialogue and shared decision-making. Not everyone wanted to be involved and the extent to which involvement was desired depended on the contexts of type and seriousness of illness, various personal characteristics and patients' relationships with professionals. These levels are seen to provide basic building blocks for a more sophisticated understanding of involvement within and between these contexts for use by professionals, managers, policy-makers and researchers. © 2006 Elsevier Ltd. All rights reserved.","author":[{"dropping-particle":"","family":"Thompson","given":"Andrew G.H.","non-dropping-particle":"","parse-names":false,"suffix":""}],"container-title":"Social Science and Medicine","id":"ITEM-1","issue":"6","issued":{"date-parts":[["2007","3"]]},"page":"1297-1310","title":"The meaning of patient involvement and participation in health care consultations: A taxonomy","type":"article-journal","volume":"64"},"uris":["http://www.mendeley.com/documents/?uuid=55768e36-6215-38f8-b054-af96a41c14f1"]},{"id":"ITEM-2","itemData":{"DOI":"10.1016/j.pec.2006.05.002","ISSN":"07383991","abstract":"Objective: To consider the conceptualisation of patient involvement in treatment decision-making. Method: Conceptual review. Results: Current models and measures of patient involvement in treatment decision-making tend to focus on communication within consultations and/or on the patient's use of information to consider the selection of one treatment option from a well-defined set. These narrowly focused models and measures may obscure the relevance of patient involvement in decision-making for some health care contexts and limit investigations of the relationships between patient involvement in decision-making and health care outcomes. We outline a broader conceptual framework that reflects more of the complexity of the concept of involvement. It acknowledges that patients can be involved not only because of what they say and do to influence a decision, but also by virtue of what they think and feel about their roles, efforts and contributions to decision-making and their relationships with their clinicians. The framework encompasses the full range of activities associated with decision-making. Conclusion: The proposed conceptual framework may broaden the relevance of patient involvement in decision-making and encourage a more comprehensive characterisation that may facilitate more sophisticated investigations of the relationships between patient involvement in decision-making and health care outcomes. Practice implications: Clinicians who aspire to facilitate patient involvement in decision-making need to look beyond the way they discuss health care options with patients. They should also consider how they might enable patients to engage in the full range of decision-making activities and to develop a positive sense of involvement in these activities and with their clinicians. © 2006 Elsevier Ireland Ltd. All rights reserved.","author":[{"dropping-particle":"","family":"Entwistle","given":"Vikki A.","non-dropping-particle":"","parse-names":false,"suffix":""},{"dropping-particle":"","family":"Watt","given":"Ian S.","non-dropping-particle":"","parse-names":false,"suffix":""}],"container-title":"Patient Education and Counseling","id":"ITEM-2","issue":"3 SPEC. ISS.","issued":{"date-parts":[["2006"]]},"page":"268-278","publisher":"Elsevier Ireland Ltd","title":"Patient involvement in treatment decision-making: The case for a broader conceptual framework","type":"article-journal","volume":"63"},"uris":["http://www.mendeley.com/documents/?uuid=b72e8593-c4de-32bb-9786-14b4743c5d36"]},{"id":"ITEM-3","itemData":{"DOI":"10.1177/1094670512442806","ISSN":"10946705","abstract":"This article explores in-depth what health care customers actually do when they cocreate value. Combining previously published research with data collected from depth interviews, field observation, and focus groups, the authors identify distinct styles of health care customer value cocreation practice. Importantly, the authors show how customers can contribute to their own value creation through their own (self) activities in managing their health care. Building on past work in service-dominant (S-D) logic, consumer culture theory and social practice theory, the authors identify \"roles,\" \"activities,\" and \"interactions\" that underlie customer cocreation of value in health care. The authors uncover five groupings of customer value cocreation practices yielding a typology of practice styles and link these to quality of life. The practice styles are \"team management,\" \"insular controlling,\" \"partnering,\" \"pragmatic adapting,\" and \"passive compliance.\" Two in particular, team management and partnering, should be encouraged by managers as they tend to be associated with higher quality of life. The authors provide a health care Customer Value Cocreation Practice Styles (CVCPS) typology. The usefulness of the typology is demonstrated by showing links to quality of life and its potential application to other health care settings. © The Author(s) 2012.","author":[{"dropping-particle":"","family":"McColl-Kennedy","given":"Janet R.","non-dropping-particle":"","parse-names":false,"suffix":""},{"dropping-particle":"","family":"Vargo","given":"Stephen L.","non-dropping-particle":"","parse-names":false,"suffix":""},{"dropping-particle":"","family":"Dagger","given":"Tracey S.","non-dropping-particle":"","parse-names":false,"suffix":""},{"dropping-particle":"","family":"Sweeney","given":"Jillian C.","non-dropping-particle":"","parse-names":false,"suffix":""},{"dropping-particle":"","family":"Kasteren","given":"Yasmin","non-dropping-particle":"van","parse-names":false,"suffix":""}],"container-title":"Journal of Service Research","id":"ITEM-3","issue":"4","issued":{"date-parts":[["2012","11"]]},"page":"370-389","title":"Health Care Customer Value Cocreation Practice Styles","type":"article-journal","volume":"15"},"uris":["http://www.mendeley.com/documents/?uuid=21604ebe-bf57-3f7f-b4ef-39273b5c26ba"]},{"id":"ITEM-4","itemData":{"DOI":"10.1007/s13398-014-0173-7.2","ISBN":"9780874216561","ISSN":"0717-6163","PMID":"15003161","abstract":"The objective of this case study was to obtain some first-hand information about the functional consequences of a cosmetic tongue split operation for speech and tongue motility. One male patient who had performed the operation on himself was interviewed and underwent a tongue motility assessment, as well as an ultrasound examination. Tongue motility was mildly reduced as a result of tissue scarring. Speech was rated to be fully intelligible and highly acceptable by 4 raters, although 2 raters noticed slight distortions of the sibilants /s/ and /z/. The 3-dimensional ultrasound demonstrated that the synergy of the 2 sides of the tongue was preserved. A notably deep posterior genioglossus furrow indicated compensation for the reduced length of the tongue blade. It is concluded that the tongue split procedure did not significantly affect the participant's speech intelligibility and tongue motility.","author":[{"dropping-particle":"","family":"Brody","given":"Howard","non-dropping-particle":"","parse-names":false,"suffix":""}],"container-title":"Theoretical Medicine","id":"ITEM-4","issue":"2","issued":{"date-parts":[["1987"]]},"page":"205-220","title":"The Physician Patient Relationship:Models and Criticisms","type":"article-journal","volume":"XXXIII"},"uris":["http://www.mendeley.com/documents/?uuid=d39082bd-7c47-4adf-882a-01677eb69712"]},{"id":"ITEM-5","itemData":{"DOI":"10.1016/0738-3991(87)90106-6","ISSN":"07383991","abstract":"This paper explores health education's responsibility for advocacy of a client-provider model of relationship which emphasizes active partnership and participation. Arguments supporting the model are made on the basis of philosophical and theoretical concerns, its consistency with health education tenets, and national trends towards greater consumerism. © 1987.","author":[{"dropping-particle":"","family":"Roter","given":"Debra","non-dropping-particle":"","parse-names":false,"suffix":""}],"container-title":"Patient Education and Counseling","id":"ITEM-5","issue":"1","issued":{"date-parts":[["1987"]]},"page":"25-31","title":"An exploration of health education's responsibility for a partnership model of client-provider relations","type":"article-journal","volume":"9"},"uris":["http://www.mendeley.com/documents/?uuid=b72e4d88-bfe1-43cc-b301-ba0958bb059e"]},{"id":"ITEM-6","itemData":{"DOI":"10.2307/3560825","ISSN":"00930334","abstract":"FOUR MODELS FOR THE PATIENT-PHYSICIAN RELATIONSHIP IN MODERN WESTERN MEDICINE ARE EXAMINED. (1) THE ENGINEERING MODEL MAKES THE PHYSICIAN AN APPLIED SCIENTIST ATTEMPTING TO DIVORCE HIMSELF FROM CONSIDERATIONS OF VALUE PROVIDING SERVICES AT THE PATIENT'S REQUEST. (2) THE PRIESTLY MODEL SEES THE PHYSICIAN IN THE OPPOSITE ROLE. INSTEAD OF MAKING THE PHYSICIAN A PLUMBER, IT MAKES HIM A PATERNALISTIC AUTHORITY FIGURE. PHYSICIANS MAY, IN FACT, AS A GROUP HOLD UNIQUE MORAL VALUES NOT SHARED BY PATIENTS AS A GROUP OR INDIVIDUAL PATIENTS. (3) THE COLLEGIAL MODEL SEES THE PHYSICIAN AND PATIENT AS COLLEAGUES PURSUING A COMMON GOAL. THIS, HOWEVER, REQUIRES THE ASSUMPTION OF MUTUAL TRUST AND CONFIDENCE AND A COMMONALITY OF INTEREST WHICH IS FREQUENTLY UNJUSTIFIED. IT MAY ALSO IGNORE THE NEED FOR PUBLIC REGULATION OF MEDICAL PRACTICE. (4) THE CONTRACTUAL MODEL IS ONE OF TWO INDIVIDUALS OR GROUPS WITH MUTUAL OBLIGATIONS AND BENEFITS LIMITED IN SCOPE. IT RECOGNIZES A LACK OF SYMMETRY OF INTERESTS, SKILLS, AND POWER AND AVOIDS THE ABDICATION OF MORAL AUTHORITY ON THE PART OF THE PHYSICIAN OR THE PATIENT.","author":[{"dropping-particle":"","family":"Veatch","given":"Robert M.","non-dropping-particle":"","parse-names":false,"suffix":""}],"container-title":"The Hastings Center Report","id":"ITEM-6","issue":"3","issued":{"date-parts":[["1972"]]},"page":"5","title":"Models for Ethical Medicine in a Revolutionary Age","type":"article-journal","volume":"2"},"uris":["http://www.mendeley.com/documents/?uuid=57ce4f70-e534-4061-af44-a46ce52d55b2"]},{"id":"ITEM-7","itemData":{"DOI":"10.1001/jama.1992.03480160079038","ISSN":"15383598","PMID":"1556799","author":[{"dropping-particle":"","family":"Emanuel","given":"Ezekiel J.","non-dropping-particle":"","parse-names":false,"suffix":""},{"dropping-particle":"","family":"Emanuel","given":"Linda L.","non-dropping-particle":"","parse-names":false,"suffix":""}],"container-title":"JAMA: The Journal of the American Medical Association","id":"ITEM-7","issue":"16","issued":{"date-parts":[["1992"]]},"page":"2221-2226","title":"Four Models of the Physician-Patient Relationship","type":"article-journal","volume":"267"},"uris":["http://www.mendeley.com/documents/?uuid=224dcae2-a5ac-4c60-9031-b187a1d172b7"]},{"id":"ITEM-8","itemData":{"DOI":"10.1016/j.socscimed.2013.07.026","ISSN":"02779536","abstract":"Over the past few decades, the concept of \"patient-centeredness\" has been intensively studied in health communication research on patient-physician interaction. Despite its popularity, this concept has often been criticized for lacking a unified definition and operationalized measurement. This article reviews how health communication research on patient-physician interaction has conceptualized and operationalized patient-centered communication based on four major theoretical perspectives in sociology (i.e., functionalism, conflict theory, utilitarianism, and social constructionism), and discusses the agenda for future research in this field. Each theory addresses different aspects of the patient-physician relationship and communication from different theoretical viewpoints. Patient-centeredness is a multifaceted construct with no single theory that can sufficiently define the whole concept. Different theoretical perspectives of patient-centered communication can be selectively adopted according to the context and nature of problems in the patient-physician relationship that a particular study aims to explore. The present study may provide a useful framework: it offers an overview of the differing models of patient-centered communication and the expected roles and goals in each model; it does so toward identifying a communication model that fits the patient and the context and toward theoretically reconstructing existing measures of patient-centered communication. Furthermore, although patient-centered communication has been defined mainly from the viewpoint of physician's behaviors aimed at achieving patient-centered care, patient competence is also required for patient-centered communication. This needs to be examined in current medical practice. © 2013 Elsevier Ltd.","author":[{"dropping-particle":"","family":"Ishikawa","given":"Hirono","non-dropping-particle":"","parse-names":false,"suffix":""},{"dropping-particle":"","family":"Hashimoto","given":"Hideki","non-dropping-particle":"","parse-names":false,"suffix":""},{"dropping-particle":"","family":"Kiuchi","given":"Takahiro","non-dropping-particle":"","parse-names":false,"suffix":""}],"container-title":"Social Science and Medicine","id":"ITEM-8","issued":{"date-parts":[["2013"]]},"page":"147-153","publisher":"Elsevier Ltd","title":"The evolving concept of \"patient-centeredness\" in patient-physician communication research","type":"article-journal","volume":"96"},"uris":["http://www.mendeley.com/documents/?uuid=82db362a-5e7d-4d09-87ce-358352222322"]},{"id":"ITEM-9","itemData":{"DOI":"10.1108/JSTP-03-2014-0062","ISSN":"20556225","abstract":"Purpose – The purpose of this paper is to investigate value co-creation processes from the focal dyad of the patient and the physician and how their experiences in the consulting room affect the value that is created. Design/methodology/approach – Semi-structured interviews incorporating the critical incident technique (CIT) were conducted with 8 doctors and 24 outpatients in selected hospitals in Ghana, exploring their experiences during their encounter in the service delivery impacting on the value creating healthcare opportunities. An abductive and thematic analytical approach was used to identify 76 useable critical incidents that had clear consequences on both the outcome of the service and the service experiences of the patient. Findings – The study reveals three critical areas needed to support the value co-creation process and respective elements or activities to be considered during the service encounter. The critical areas comprise of the social context, beliefs and perceptions, and partnership between the focal dyad. The findings also suggests that patients do not consider “getting well” as the only value that they seek, but also the total experiences they go through in the consulting room. Also some physicians find it difficult to accept the recent changes in the patients’ behaviour and attitudes, resulting in knowledge conflict that adversely affects actors’ experiences in the consulting room. Research limitations/implications – The study considered only one of the many professionals in the healthcare delivery, which may affect the true value perceptions of the patient. Practical implications – The study provides service providers understanding of the processes that influence the patients’ experiences and value creation and the changing trends in the patient’s attitudes. The findings suggest a need for providers to take a holistic view of the service delivery and consider the critical areas, which could impact on the overall service outcomes. Originality/value – This study extends the research on CIT to exploring the value co-creating processes in the healthcare setting. This also provides clarity in understanding the interdependence of the two actors and how this is managed as a resource in the value co-creation process at the micro level.","author":[{"dropping-particle":"","family":"Osei-Frimpong","given":"Kofi","non-dropping-particle":"","parse-names":false,"suffix":""},{"dropping-particle":"","family":"Wilson","given":"Alan","non-dropping-particle":"","parse-names":false,"suffix":""},{"dropping-particle":"","family":"Owusu-Frimpong","given":"Nana","non-dropping-particle":"","parse-names":false,"suffix":""}],"container-title":"Journal of Service Theory and Practice","id":"ITEM-9","issue":"4","issued":{"date-parts":[["2015"]]},"page":"443-462","publisher":"Emerald Group Publishing Ltd.","title":"Service experiences and dyadic value co-creation in healthcare service delivery: A CIT approach","type":"article-journal","volume":"25"},"uris":["http://www.mendeley.com/documents/?uuid=750aff3f-5d7a-3b1e-a2a6-cb184581235d"]}],"mendeley":{"formattedCitation":"(Brody, 1987; Emanuel and Emanuel, 1992; Entwistle and Watt, 2006; Ishikawa et al., 2013; McColl-Kennedy et al., 2012; Osei-Frimpong et al., 2015; Roter, 1987; Thompson, 2007; Veatch, 1972)","plainTextFormattedCitation":"(Brody, 1987; Emanuel and Emanuel, 1992; Entwistle and Watt, 2006; Ishikawa et al., 2013; McColl-Kennedy et al., 2012; Osei-Frimpong et al., 2015; Roter, 1987; Thompson, 2007; Veatch, 1972)","previouslyFormattedCitation":"(Brody, 1987; Emanuel and Emanuel, 1992; Entwistle and Watt, 2006; Ishikawa et al., 2013; McColl-Kennedy et al., 2012; Osei-Frimpong et al., 2015; Roter, 1987; Thompson, 2007; Veatch, 1972)"},"properties":{"noteIndex":0},"schema":"https://github.com/citation-style-language/schema/raw/master/csl-citation.json"}</w:instrText>
      </w:r>
      <w:r w:rsidRPr="0097670D">
        <w:rPr>
          <w:sz w:val="22"/>
          <w:szCs w:val="22"/>
        </w:rPr>
        <w:fldChar w:fldCharType="separate"/>
      </w:r>
      <w:r w:rsidR="00DD223D" w:rsidRPr="0097670D">
        <w:rPr>
          <w:noProof/>
          <w:sz w:val="22"/>
          <w:szCs w:val="22"/>
        </w:rPr>
        <w:t>(Brody, 1987; Emanuel and Emanuel, 1992; Entwistle and Watt, 2006; Ishikawa et al., 2013; McColl-Kennedy et al., 2012; Osei-Frimpong et al., 2015; Roter, 1987; Thompson, 2007; Veatch, 1972)</w:t>
      </w:r>
      <w:r w:rsidRPr="0097670D">
        <w:rPr>
          <w:sz w:val="22"/>
          <w:szCs w:val="22"/>
        </w:rPr>
        <w:fldChar w:fldCharType="end"/>
      </w:r>
      <w:r w:rsidRPr="0097670D">
        <w:rPr>
          <w:sz w:val="22"/>
          <w:szCs w:val="22"/>
        </w:rPr>
        <w:t>.</w:t>
      </w:r>
    </w:p>
    <w:p w14:paraId="109D706A" w14:textId="2A7346A6" w:rsidR="002147D8" w:rsidRPr="0097670D" w:rsidRDefault="00890C24">
      <w:pPr>
        <w:tabs>
          <w:tab w:val="left" w:pos="1180"/>
        </w:tabs>
        <w:spacing w:line="480" w:lineRule="auto"/>
        <w:ind w:firstLine="284"/>
        <w:jc w:val="both"/>
        <w:rPr>
          <w:sz w:val="22"/>
          <w:szCs w:val="22"/>
        </w:rPr>
      </w:pPr>
      <w:r w:rsidRPr="0097670D">
        <w:rPr>
          <w:sz w:val="22"/>
          <w:szCs w:val="22"/>
        </w:rPr>
        <w:t xml:space="preserve">In this paper, we look at the patient–physician relationship from a different lens than in past studies. In particular, we identify and analyse the characteristics of this relationship that refer to the phenomenon of defensive medicine and which enable value co-creation activities in order to understand how these two are related to each other. The theoretical argumentation we </w:t>
      </w:r>
      <w:proofErr w:type="gramStart"/>
      <w:r w:rsidRPr="0097670D">
        <w:rPr>
          <w:sz w:val="22"/>
          <w:szCs w:val="22"/>
        </w:rPr>
        <w:t>offer</w:t>
      </w:r>
      <w:proofErr w:type="gramEnd"/>
      <w:r w:rsidRPr="0097670D">
        <w:rPr>
          <w:sz w:val="22"/>
          <w:szCs w:val="22"/>
        </w:rPr>
        <w:t xml:space="preserve"> and our empirical results lead to the development of four archetypical patient–physician relationships. This empirically informed model for patient–physician relationship archetyping contributes to enriching the three streams of literature on </w:t>
      </w:r>
      <w:r w:rsidRPr="0097670D">
        <w:rPr>
          <w:sz w:val="22"/>
          <w:szCs w:val="22"/>
          <w:lang w:eastAsia="en-IE"/>
        </w:rPr>
        <w:t>value co-creation in healthcare, defensive medicine, and patient–physician relationships. Also, this paper offers new suggestions for managers and healthcare providers about how to focus on the patient–physician relationship in order to increase the likelihood of patients’ participation in the healthcare process and to decrease the risk of defensive medicine behaviour.</w:t>
      </w:r>
    </w:p>
    <w:p w14:paraId="02EE3A00" w14:textId="344399CB" w:rsidR="002147D8" w:rsidRPr="0097670D" w:rsidRDefault="00890C24">
      <w:pPr>
        <w:tabs>
          <w:tab w:val="left" w:pos="1180"/>
        </w:tabs>
        <w:spacing w:line="480" w:lineRule="auto"/>
        <w:ind w:firstLine="284"/>
        <w:jc w:val="both"/>
        <w:rPr>
          <w:sz w:val="22"/>
          <w:szCs w:val="22"/>
        </w:rPr>
      </w:pPr>
      <w:r w:rsidRPr="0097670D">
        <w:rPr>
          <w:sz w:val="22"/>
          <w:szCs w:val="22"/>
        </w:rPr>
        <w:t xml:space="preserve">This paper is structured as follows: In the next section, we present the theoretical background related to the three main elements of our study: value co-creation, defensive medicine, and patient–physician relationships. Subsequently, we describe the research methodology we used </w:t>
      </w:r>
      <w:r w:rsidRPr="0097670D">
        <w:rPr>
          <w:sz w:val="22"/>
          <w:szCs w:val="22"/>
        </w:rPr>
        <w:lastRenderedPageBreak/>
        <w:t>and present the main findings of the empirical analysis. The last sections report our discussion and conclusion.</w:t>
      </w:r>
    </w:p>
    <w:p w14:paraId="0833C948" w14:textId="77777777" w:rsidR="002147D8" w:rsidRPr="0097670D" w:rsidRDefault="002147D8">
      <w:pPr>
        <w:tabs>
          <w:tab w:val="left" w:pos="1180"/>
        </w:tabs>
        <w:spacing w:line="480" w:lineRule="auto"/>
        <w:jc w:val="both"/>
        <w:rPr>
          <w:sz w:val="22"/>
          <w:szCs w:val="22"/>
        </w:rPr>
      </w:pPr>
    </w:p>
    <w:p w14:paraId="45BD8C6E" w14:textId="1CF813B8" w:rsidR="002147D8" w:rsidRPr="0097670D" w:rsidRDefault="00890C24">
      <w:pPr>
        <w:pStyle w:val="Corpotesto"/>
        <w:spacing w:before="0" w:line="480" w:lineRule="auto"/>
        <w:rPr>
          <w:b/>
          <w:sz w:val="22"/>
          <w:szCs w:val="22"/>
        </w:rPr>
      </w:pPr>
      <w:r w:rsidRPr="0097670D">
        <w:rPr>
          <w:b/>
          <w:sz w:val="22"/>
          <w:szCs w:val="22"/>
        </w:rPr>
        <w:t>Literature Review</w:t>
      </w:r>
    </w:p>
    <w:p w14:paraId="13C1409C" w14:textId="77777777" w:rsidR="002147D8" w:rsidRPr="0097670D" w:rsidRDefault="00890C24">
      <w:pPr>
        <w:pStyle w:val="Corpotesto"/>
        <w:spacing w:before="0" w:line="480" w:lineRule="auto"/>
        <w:rPr>
          <w:i/>
          <w:sz w:val="22"/>
          <w:szCs w:val="22"/>
        </w:rPr>
      </w:pPr>
      <w:r w:rsidRPr="0097670D">
        <w:rPr>
          <w:i/>
          <w:sz w:val="22"/>
          <w:szCs w:val="22"/>
        </w:rPr>
        <w:t>Value Co-Creation</w:t>
      </w:r>
    </w:p>
    <w:p w14:paraId="77D86993" w14:textId="3AC437E9" w:rsidR="002147D8" w:rsidRPr="0097670D" w:rsidRDefault="00890C24">
      <w:pPr>
        <w:pStyle w:val="Corpotesto"/>
        <w:spacing w:before="0" w:line="480" w:lineRule="auto"/>
        <w:rPr>
          <w:sz w:val="22"/>
          <w:szCs w:val="22"/>
        </w:rPr>
      </w:pPr>
      <w:bookmarkStart w:id="2" w:name="_Hlk66892229"/>
      <w:r w:rsidRPr="0097670D">
        <w:rPr>
          <w:sz w:val="22"/>
          <w:szCs w:val="22"/>
        </w:rPr>
        <w:t xml:space="preserve">Value co-creation and, more generally, the concept of value have been widely studied and discussed in various contexts in literature, in particular by service and marketing academics </w:t>
      </w:r>
      <w:r w:rsidRPr="0097670D">
        <w:rPr>
          <w:sz w:val="22"/>
          <w:szCs w:val="22"/>
        </w:rPr>
        <w:fldChar w:fldCharType="begin" w:fldLock="1"/>
      </w:r>
      <w:r w:rsidRPr="0097670D">
        <w:rPr>
          <w:sz w:val="22"/>
          <w:szCs w:val="22"/>
        </w:rPr>
        <w:instrText>ADDIN CSL_CITATION {"citationItems":[{"id":"ITEM-1","itemData":{"DOI":"10.1509/jmkg.68.1.1.24036","ISSN":"00222429","abstract":"Marketing inherited a model of exchange from economics, which had a dominant logic based on the exchange of \"goods,\" which usually are manufactured output. The dominant logic focused on tangible resources, embedded value, and transactions. Over the past several decades, new perspectives have emerged that have a revised logic focused on intangible resources, the cocreation of value, and relationships. The authors believe that the new perspectives are converging to form a new dominant logic for marketing, one in which service provision rather than goods is fundamental to economic exchange. The authors explore this evolving logic and the corresponding shift in perspective for marketing scholars, marketing practitioners, and marketing educators.","author":[{"dropping-particle":"","family":"Vargo","given":"Stephen L.","non-dropping-particle":"","parse-names":false,"suffix":""},{"dropping-particle":"","family":"Lusch","given":"Robert F.","non-dropping-particle":"","parse-names":false,"suffix":""}],"container-title":"Journal of Marketing","id":"ITEM-1","issue":"1","issued":{"date-parts":[["2004"]]},"number-of-pages":"1-17","title":"Evolving to a New Dominant Logic for Marketing","type":"report","volume":"68"},"uris":["http://www.mendeley.com/documents/?uuid=a93cbac4-f1b9-33d4-aaec-63ba0b329e2f"]},{"id":"ITEM-2","itemData":{"DOI":"10.1177/1094670511426897","ISSN":"10946705","abstract":"Within contemporary discourse around service-dominant logic, phenomenologically (experientially) determined value has been placed at the center of value discussion. However, a systematic characterization of value in the experience has not been presented to date. In this article, the authors outline four theoretical propositions that describe what value in the experience is, which are then illustrated using a narrative data set. The propositions consider both lived and imaginary value experiences and posit that current service experiences are influenced by previous and anticipated service experiences. The article contributes to the service literature by characterizing value in the experience as an ongoing, iterative circular process of individual, and collective customer sense making, as opposed to a linear, cognitive process restricted to isolated service encounters. The authors recommend that service researchers should consider the use of interpretive methodologies based on the four theoretical propositions outlined in order to better understand the many ways that service customers experience value in their lifeworld contexts, which extend well beyond the service organization's zone of influence. Service managers should also consider how a richer understanding of past, current, and imaginary value in the context in service customers' individual lifeworld contexts might generate novel insights for service innovations. © SAGE Publications 2012.","author":[{"dropping-particle":"","family":"Helkkula","given":"Anu","non-dropping-particle":"","parse-names":false,"suffix":""},{"dropping-particle":"","family":"Kelleher","given":"Carol","non-dropping-particle":"","parse-names":false,"suffix":""},{"dropping-particle":"","family":"Pihlström","given":"Minna","non-dropping-particle":"","parse-names":false,"suffix":""}],"container-title":"Journal of Service Research","id":"ITEM-2","issue":"1","issued":{"date-parts":[["2012"]]},"page":"59-75","title":"Characterizing Value as an Experience: Implications for Service Researchers and Managers","type":"article-journal","volume":"15"},"uris":["http://www.mendeley.com/documents/?uuid=9d672935-fb89-4550-932a-1576fd423f1c"]}],"mendeley":{"formattedCitation":"(Helkkula et al., 2012; Vargo and Lusch, 2004b)","plainTextFormattedCitation":"(Helkkula et al., 2012; Vargo and Lusch, 2004b)","previouslyFormattedCitation":"(Helkkula et al., 2012; Vargo and Lusch, 2004b)"},"properties":{"noteIndex":0},"schema":"https://github.com/citation-style-language/schema/raw/master/csl-citation.json"}</w:instrText>
      </w:r>
      <w:r w:rsidRPr="0097670D">
        <w:rPr>
          <w:sz w:val="22"/>
          <w:szCs w:val="22"/>
        </w:rPr>
        <w:fldChar w:fldCharType="separate"/>
      </w:r>
      <w:r w:rsidRPr="0097670D">
        <w:rPr>
          <w:noProof/>
          <w:sz w:val="22"/>
          <w:szCs w:val="22"/>
        </w:rPr>
        <w:t xml:space="preserve">(Helkkula </w:t>
      </w:r>
      <w:r w:rsidRPr="0097670D">
        <w:rPr>
          <w:i/>
          <w:iCs/>
          <w:noProof/>
          <w:sz w:val="22"/>
          <w:szCs w:val="22"/>
        </w:rPr>
        <w:t>et al.</w:t>
      </w:r>
      <w:r w:rsidRPr="0097670D">
        <w:rPr>
          <w:noProof/>
          <w:sz w:val="22"/>
          <w:szCs w:val="22"/>
        </w:rPr>
        <w:t>, 2012; Vargo and Lusch, 2004b)</w:t>
      </w:r>
      <w:r w:rsidRPr="0097670D">
        <w:rPr>
          <w:sz w:val="22"/>
          <w:szCs w:val="22"/>
        </w:rPr>
        <w:fldChar w:fldCharType="end"/>
      </w:r>
      <w:r w:rsidRPr="0097670D">
        <w:rPr>
          <w:sz w:val="22"/>
          <w:szCs w:val="22"/>
        </w:rPr>
        <w:t>.</w:t>
      </w:r>
      <w:bookmarkEnd w:id="2"/>
    </w:p>
    <w:p w14:paraId="4457227D" w14:textId="13AAF9A8" w:rsidR="002147D8" w:rsidRPr="0097670D" w:rsidRDefault="00890C24">
      <w:pPr>
        <w:pStyle w:val="Corpotesto"/>
        <w:spacing w:before="0" w:line="480" w:lineRule="auto"/>
        <w:ind w:firstLine="284"/>
        <w:rPr>
          <w:sz w:val="22"/>
          <w:szCs w:val="22"/>
          <w:lang w:val="en-US"/>
        </w:rPr>
      </w:pPr>
      <w:r w:rsidRPr="0097670D">
        <w:rPr>
          <w:sz w:val="22"/>
          <w:szCs w:val="22"/>
        </w:rPr>
        <w:t xml:space="preserve">Since the 1990s, the consumer’s role has changed from isolated to connected, from unaware to informed, from passive to active </w:t>
      </w:r>
      <w:r w:rsidRPr="0097670D">
        <w:rPr>
          <w:sz w:val="22"/>
          <w:szCs w:val="22"/>
        </w:rPr>
        <w:fldChar w:fldCharType="begin" w:fldLock="1"/>
      </w:r>
      <w:r w:rsidRPr="0097670D">
        <w:rPr>
          <w:sz w:val="22"/>
          <w:szCs w:val="22"/>
        </w:rPr>
        <w:instrText>ADDIN CSL_CITATION {"citationItems":[{"id":"ITEM-1","itemData":{"DOI":"10.1108/10878570410699249","ISSN":"10878572","abstract":"The traditional system of company-centric value creation (that has served us so well over the past 100 years) is becoming obsolete. Leaders now need a new frame of reference for value creation. In the emergent economy, competition will center on personalized co-creation experiences, resulting in value that is truly unique to each individual. The authors see a new frontier in value creation emerging, replete with fresh opportunities. In this new frontier the role of the consumer has changed from isolated to connected, from unaware to informed, from passive to active. As a result, companies can no longer act autonomously, designing products, developing production processes, crafting marketing messages, and controlling sales channels with little or no interference from consumers. Armed with new tools and dissatisfied with available choices, consumers want to interact with firms and thereby co-create value. The use of interaction as a basis for co-creation is at the crux of our emerging reality. The co-creation experience of the consumer becomes the very basis of value. The authors offer a DART model for managing co-creation of value processes. © 2004, Emerald Group Publishing Limited","author":[{"dropping-particle":"","family":"Prahalad","given":"C. K.","non-dropping-particle":"","parse-names":false,"suffix":""},{"dropping-particle":"","family":"Ramaswamy","given":"Venkat","non-dropping-particle":"","parse-names":false,"suffix":""}],"container-title":"Strategy &amp; Leadership","id":"ITEM-1","issue":"3","issued":{"date-parts":[["2004"]]},"note":"DART - Dialogue, Access, Risk assessment, Transparency\n\nUsare quando si parla di informazione","number-of-pages":"4-9","title":"Co-creating unique value with customers","type":"report","volume":"32"},"uris":["http://www.mendeley.com/documents/?uuid=6c05c0cf-5ed8-3521-899d-52a51b5325d3"]}],"mendeley":{"formattedCitation":"(Prahalad and Ramaswamy, 2004)","plainTextFormattedCitation":"(Prahalad and Ramaswamy, 2004)","previouslyFormattedCitation":"(Prahalad and Ramaswamy, 2004)"},"properties":{"noteIndex":0},"schema":"https://github.com/citation-style-language/schema/raw/master/csl-citation.json"}</w:instrText>
      </w:r>
      <w:r w:rsidRPr="0097670D">
        <w:rPr>
          <w:sz w:val="22"/>
          <w:szCs w:val="22"/>
        </w:rPr>
        <w:fldChar w:fldCharType="separate"/>
      </w:r>
      <w:r w:rsidRPr="0097670D">
        <w:rPr>
          <w:noProof/>
          <w:sz w:val="22"/>
          <w:szCs w:val="22"/>
        </w:rPr>
        <w:t>(Prahalad and Ramaswamy, 2004)</w:t>
      </w:r>
      <w:r w:rsidRPr="0097670D">
        <w:rPr>
          <w:sz w:val="22"/>
          <w:szCs w:val="22"/>
        </w:rPr>
        <w:fldChar w:fldCharType="end"/>
      </w:r>
      <w:r w:rsidRPr="0097670D">
        <w:rPr>
          <w:sz w:val="22"/>
          <w:szCs w:val="22"/>
        </w:rPr>
        <w:t xml:space="preserve">. In services, which require significant customer participation to create value, such as in healthcare, customers who lack the knowledge, skills, and motivation necessary to participate effectively can negatively affect service quality and cost outcomes. Scholars have found that patients who are taught why they have to perform tasks have higher levels of motivation to perform them effectively, and, as a consequence, they have improved health outcomes and lower healthcare costs </w:t>
      </w:r>
      <w:r w:rsidRPr="0097670D">
        <w:rPr>
          <w:sz w:val="22"/>
          <w:szCs w:val="22"/>
        </w:rPr>
        <w:fldChar w:fldCharType="begin" w:fldLock="1"/>
      </w:r>
      <w:r w:rsidRPr="0097670D">
        <w:rPr>
          <w:sz w:val="22"/>
          <w:szCs w:val="22"/>
        </w:rPr>
        <w:instrText>ADDIN CSL_CITATION {"citationItems":[{"id":"ITEM-1","itemData":{"DOI":"10.1016/j.jom.2016.10.001","ISSN":"02726963","abstract":"In services, which require significant customer participation to create value, customers who lack the knowledge, skills and motivation necessary to participate effectively can negatively impact service quality and cost outcomes. This paper develops a conceptual model to investigate the effectiveness of utilizing customer training and education (CTE) to improve customer readiness to provide effective behaviors in a professional service. The model was tested using survey data from patients diagnosed with diabetes who received CTE as part of their healthcare service. We found that customers who are taught why they have to perform the tasks, have higher levels of motivation to perform these tasks effectively. Further, as proposed by the customer readiness model, when their task performance is higher, they have improved health and lower healthcare costs.","author":[{"dropping-particle":"","family":"Damali","given":"Uzay","non-dropping-particle":"","parse-names":false,"suffix":""},{"dropping-particle":"","family":"Miller","given":"Janis L.","non-dropping-particle":"","parse-names":false,"suffix":""},{"dropping-particle":"","family":"Fredendal</w:instrText>
      </w:r>
      <w:r w:rsidRPr="0097670D">
        <w:rPr>
          <w:sz w:val="22"/>
          <w:szCs w:val="22"/>
          <w:lang w:val="en-US"/>
        </w:rPr>
        <w:instrText>l","given":"Lawrence D.","non-dropping-particle":"","parse-names":false,"suffix":""},{"dropping-particle":"","family":"Moore","given":"De Wayne","non-dropping-particle":"","parse-names":false,"suffix":""},{"dropping-particle":"","family":"Dye","given":"Cheryl J.","non-dropping-particle":"","parse-names":false,"suffix":""}],"container-title":"Journal of Operations Management","id":"ITEM-1","issued":{"date-parts":[["2016","11","1"]]},"page":"80-97","publisher":"Elsevier B.V.","title":"Co-creating value using customer training and education in a healthcare service design","type":"article-journal","volume":"47-48"},"uris":["http://www.mendeley.com/documents/?uuid=11d74e84-e4b0-3392-a886-2371c8774f4e"]}],"mendeley":{"formattedCitation":"(Damali et al., 2016)","plainTextFormattedCitation":"(Damali et al., 2016)","previouslyFormattedCitation":"(Damali et al., 2016)"},"properties":{"noteIndex":0},"schema":"https://github.com/citation-style-language/schema/raw/master/csl-citation.json"}</w:instrText>
      </w:r>
      <w:r w:rsidRPr="0097670D">
        <w:rPr>
          <w:sz w:val="22"/>
          <w:szCs w:val="22"/>
        </w:rPr>
        <w:fldChar w:fldCharType="separate"/>
      </w:r>
      <w:r w:rsidRPr="0097670D">
        <w:rPr>
          <w:noProof/>
          <w:sz w:val="22"/>
          <w:szCs w:val="22"/>
          <w:lang w:val="en-US"/>
        </w:rPr>
        <w:t xml:space="preserve">(Damali </w:t>
      </w:r>
      <w:r w:rsidRPr="0097670D">
        <w:rPr>
          <w:i/>
          <w:iCs/>
          <w:noProof/>
          <w:sz w:val="22"/>
          <w:szCs w:val="22"/>
          <w:lang w:val="en-US"/>
        </w:rPr>
        <w:t>et al.</w:t>
      </w:r>
      <w:r w:rsidRPr="0097670D">
        <w:rPr>
          <w:noProof/>
          <w:sz w:val="22"/>
          <w:szCs w:val="22"/>
          <w:lang w:val="en-US"/>
        </w:rPr>
        <w:t>, 2016)</w:t>
      </w:r>
      <w:r w:rsidRPr="0097670D">
        <w:rPr>
          <w:sz w:val="22"/>
          <w:szCs w:val="22"/>
        </w:rPr>
        <w:fldChar w:fldCharType="end"/>
      </w:r>
      <w:r w:rsidRPr="0097670D">
        <w:rPr>
          <w:sz w:val="22"/>
          <w:szCs w:val="22"/>
          <w:lang w:val="en-US"/>
        </w:rPr>
        <w:t>.</w:t>
      </w:r>
    </w:p>
    <w:p w14:paraId="5DD2F970" w14:textId="28DDD7F4" w:rsidR="002147D8" w:rsidRPr="0097670D" w:rsidRDefault="00890C24">
      <w:pPr>
        <w:spacing w:line="480" w:lineRule="auto"/>
        <w:ind w:firstLine="284"/>
        <w:jc w:val="both"/>
        <w:rPr>
          <w:sz w:val="22"/>
          <w:szCs w:val="22"/>
        </w:rPr>
      </w:pPr>
      <w:r w:rsidRPr="0097670D">
        <w:rPr>
          <w:sz w:val="22"/>
          <w:szCs w:val="22"/>
        </w:rPr>
        <w:t xml:space="preserve">An important theoretical contribution regarding the concept of value co-creation was given by the shift to the service-dominant (S-D) logic from the more traditional goods-dominant (G-D) logic </w:t>
      </w:r>
      <w:r w:rsidRPr="0097670D">
        <w:rPr>
          <w:sz w:val="22"/>
          <w:szCs w:val="22"/>
        </w:rPr>
        <w:fldChar w:fldCharType="begin" w:fldLock="1"/>
      </w:r>
      <w:r w:rsidRPr="0097670D">
        <w:rPr>
          <w:sz w:val="22"/>
          <w:szCs w:val="22"/>
        </w:rPr>
        <w:instrText>ADDIN CSL_CITATION {"citationItems":[{"id":"ITEM-1","itemData":{"DOI":"10.1509/jmkg.68.1.1.24036","ISSN":"00222429","abstract":"Marketing inherited a model of exchange from economics, which had a dominant logic based on the exchange of \"goods,\" which usually are manufactured output. The dominant logic focused on tangible resources, embedded value, and transactions. Over the past several decades, new perspectives have emerged that have a revised logic focused on intangible resources, the cocreation of value, and relationships. The authors believe that the new perspectives are converging to form a new dominant logic for marketing, one in which service provision rather than goods is fundamental to economic exchange. The authors explore this evolving logic and the corresponding shift in perspective for marketing scholars, marketing practitioners, and marketing educators.","author":[{"dropping-particle":"","family":"Vargo","given":"Stephen L.","non-dropping-particle":"","parse-names":false,"suffix":""},{"dropping-particle":"","family":"Lusch","given":"Robert F.","non-dropping-particle":"","parse-names":false,"suffix":""}],"container-title":"Journal of Marketing","id":"ITEM-1","issue":"1","issued":{"date-parts":[["2004"]]},"number-of-pages":"1-17","title":"Evolving to a New Dominant Logic for Marketing","type":"report","volume":"68"},"uris":["http://www.mendeley.com/documents/?uuid=a93cbac4-f1b9-33d4-aaec-63ba0b329e2f"]}],"mendeley":{"formattedCitation":"(Vargo and Lusch, 2004b)","plainTextFormattedCitation":"(Vargo and Lusch, 2004b)","previouslyFormattedCitation":"(Vargo and Lusch, 2004b)"},"properties":{"noteIndex":0},"schema":"https://github.com/citation-style-language/schema/raw/master/csl-citation.json"}</w:instrText>
      </w:r>
      <w:r w:rsidRPr="0097670D">
        <w:rPr>
          <w:sz w:val="22"/>
          <w:szCs w:val="22"/>
        </w:rPr>
        <w:fldChar w:fldCharType="separate"/>
      </w:r>
      <w:r w:rsidRPr="0097670D">
        <w:rPr>
          <w:noProof/>
          <w:sz w:val="22"/>
          <w:szCs w:val="22"/>
        </w:rPr>
        <w:t>(Vargo and Lusch, 2004b)</w:t>
      </w:r>
      <w:r w:rsidRPr="0097670D">
        <w:rPr>
          <w:sz w:val="22"/>
          <w:szCs w:val="22"/>
        </w:rPr>
        <w:fldChar w:fldCharType="end"/>
      </w:r>
      <w:r w:rsidRPr="0097670D">
        <w:rPr>
          <w:sz w:val="22"/>
          <w:szCs w:val="22"/>
          <w:lang w:val="en-US"/>
        </w:rPr>
        <w:t xml:space="preserve">. </w:t>
      </w:r>
      <w:r w:rsidRPr="0097670D">
        <w:rPr>
          <w:sz w:val="22"/>
          <w:szCs w:val="22"/>
        </w:rPr>
        <w:t xml:space="preserve">In healthcare, G-D logic is manifested in the proliferation of more specialized and sophisticated providers, delivery systems, pharmaceuticals, medical devices, facilities, procedures, and more </w:t>
      </w:r>
      <w:r w:rsidRPr="0097670D">
        <w:rPr>
          <w:sz w:val="22"/>
          <w:szCs w:val="22"/>
        </w:rPr>
        <w:fldChar w:fldCharType="begin" w:fldLock="1"/>
      </w:r>
      <w:r w:rsidRPr="0097670D">
        <w:rPr>
          <w:sz w:val="22"/>
          <w:szCs w:val="22"/>
        </w:rPr>
        <w:instrText>ADDIN CSL_CITATION {"citationItems":[{"id":"ITEM-1","itemData":{"DOI":"10.2147/ieh.s93473","ISSN":"2324-5905","abstract":"Consumers value health and a sense of well-being. The health care system cannot supply these values, but only “products” such as hospitalization, ambulatory care, medica- tions, procedures, and preventative care. These components of health care represent neither the value within the system nor the desired final output. Nonetheless, the health care system has focused inordinately on the products, to the point of suggesting that they have intrinsic value. We link this situation to the concept of goods-dominant logic, which has dominated business and managerial thinking since the Industrial Revolution. We then explain why and how moving to service-dominant logic is essential for consumers and providers to better cocreate value from products which are not intrinsically valuable. The challenge of cocreating value is confounded by information asymmetry, and by the myriad factors in the health care ecosystem that contribute to or detract from health and well-being. A new lexicon, emanating from service-dominant logic, is suggested to facilitate the move away from a goods-dominant mindset.","author":[{"dropping-particle":"","family":"Joiner","given":"Keith","non-dropping-particle":"","parse-names":false,"suffix":""},{"dropping-particle":"","family":"Lusch","given":"Robert","non-dropping-particle":"","parse-names":false,"suffix":""}],"container-title":"Innovation and Entrepreneurship in Health","id":"ITEM-1","issued":{"date-parts":[["2016"]]},"page":"25","title":"Evolving to a new service-dominant logic for health care","type":"article-journal"},"uris":["http://www.mendeley.com/documents/?uuid=e445a5bd-08f6-4c02-a72f-82d550edbb5f"]}],"mendeley":{"formattedCitation":"(Joiner and Lusch, 2016)","plainTextFormattedCitation":"(Joiner and Lusch, 2016)","previouslyFormattedCitation":"(Joiner and Lusch, 2016)"},"properties":{"noteIndex":0},"schema":"https://github.com/citation-style-language/schema/raw/master/csl-citation.json"}</w:instrText>
      </w:r>
      <w:r w:rsidRPr="0097670D">
        <w:rPr>
          <w:sz w:val="22"/>
          <w:szCs w:val="22"/>
        </w:rPr>
        <w:fldChar w:fldCharType="separate"/>
      </w:r>
      <w:r w:rsidRPr="0097670D">
        <w:rPr>
          <w:noProof/>
          <w:sz w:val="22"/>
          <w:szCs w:val="22"/>
        </w:rPr>
        <w:t>(Joiner and Lusch, 2016)</w:t>
      </w:r>
      <w:r w:rsidRPr="0097670D">
        <w:rPr>
          <w:sz w:val="22"/>
          <w:szCs w:val="22"/>
        </w:rPr>
        <w:fldChar w:fldCharType="end"/>
      </w:r>
      <w:r w:rsidRPr="0097670D">
        <w:rPr>
          <w:sz w:val="22"/>
          <w:szCs w:val="22"/>
        </w:rPr>
        <w:t xml:space="preserve">. On the other side, the S-D logic, which has been the object of much elaboration over the years </w:t>
      </w:r>
      <w:r w:rsidRPr="0097670D">
        <w:rPr>
          <w:sz w:val="22"/>
          <w:szCs w:val="22"/>
        </w:rPr>
        <w:fldChar w:fldCharType="begin" w:fldLock="1"/>
      </w:r>
      <w:r w:rsidRPr="0097670D">
        <w:rPr>
          <w:sz w:val="22"/>
          <w:szCs w:val="22"/>
        </w:rPr>
        <w:instrText>ADDIN CSL_CITATION {"citationItems":[{"id":"ITEM-1","itemData":{"author":[{"dropping-particle":"","family":"Vargo","given":"Stephen L","non-dropping-particle":"","parse-names":false,"suffix":""},{"dropping-particle":"","family":"Lusch","given":"Robert","non-dropping-particle":"","parse-names":false,"suffix":""}],"id":"ITEM-1","issued":{"date-parts":[["2004"]]},"title":"Service-Dominant Logic: What It Is, What It Is Not, What It Might Be","type":"report"},"uris":["http://www.mendeley.com/documents/?uuid=d064b2f1-a1a7-3316-b768-046b5dd8f403"]},{"id":"ITEM-2","itemData":{"DOI":"10.1177/1470593106066781","ISSN":"14705931","abstract":"As one of its own foundational premises implies, the value of service-dominant (S-D) logic is necessarily in its open, collaborative effort. Thus, the authors invite and welcome both elaborative and critical viewpoints. Five recurring, contentious issues among collaborating scholars, as they attempt to understand the full nature and scope of S-D logic, are identified. These issues are clarified and refined, as is appropriate to this co-creation of a service-centric philosophy by the worldwide marketing community. © 2006, Sage Publications. All rights reserved.","author":[{"dropping-particle":"","family":"Vargo","given":"Stephen L.","non-dropping-particle":"","parse-names":false,"suffix":""},{"dropping-particle":"","family":"Lusch","given":"Robert F.","non-dropping-particle":"","parse-names":false,"suffix":""}],"container-title":"Marketing Theory","id":"ITEM-2","issue":"3","issued":{"date-parts":[["2006"]]},"page":"281-288","title":"Service-dominant logic: Reactions, reflections and refinements","type":"article-journal","volume":"6"},"uris":["http://www.mendeley.com/documents/?uuid=3e558aba-dee3-3312-8382-b5b7eb57bb28"]},{"id":"ITEM-3","itemData":{"DOI":"10.1007/s11747-007-0069-6","ISSN":"00920703","abstract":"Since the introductory article for what has become known as the \"service-dominant (S-D) logic of marketing,\" \"Evolving to a New Dominant Logic for Marketing,\" was published in the Journal of Marketing (Vargo, S. L., &amp; Lusch, R. F. (2004a)), there has been considerable discussion and elaboration of its specifics. This article highlights and clarifies the salient issues associated with S-D logic and updates the original foundational premises (FPs) and adds an FP. Directions for future work are also discussed. © Academy of Marketing Science 2007.","author":[{"dropping-particle":"","family":"Vargo","given":"Stephen L.","non-dropping-particle":"","parse-names":false,"suffix":""},{"dropping-particle":"","family":"Lusch","given":"Robert F.","non-dropping-particle":"","parse-names":false,"suffix":""}],"container-title":"Journal of the Academy of Marketing Science","id":"ITEM-3","issue":"1","issued":{"date-parts":[["2008"]]},"page":"1-10","title":"Service-dominant logic: Continuing the evolution","type":"article-journal","volume":"36"},"uris":["http://www.mendeley.com/documents/?uuid=f2def7b5-f37b-3681-aa26-bd6de23be6f2"]},{"id":"ITEM-4","itemData":{"DOI":"10.1108/S1548-6435(2012)0000009005","ISBN":"9781780529127","ISSN":"15486435","author":[{"dropping-particle":"","family":"Vargo","given":"Stephen L.","non-dropping-particle":"","parse-names":false,"suffix":""},{"dropping-particle":"","family":"Lusch","given":"Robert F.","non-dropping-particle":"","parse-names":false,"suffix":""}],"container-title":"Review of Marketing Research","id":"ITEM-4","issued":{"date-parts":[["2012"]]},"page":"1-12","title":"The nature and understanding of value: A service-dominant logic perspective","type":"article-journal","volume":"9"},"uris":["http://www.mendeley.com/documents/?uuid=c52a2f1a-d796-394a-9f00-4f93497931c6"]},{"id":"ITEM-5","itemData":{"DOI":"10.1007/s11747-015-0456-3","ISSN":"00920703","abstract":"Service-dominant logic continues its evolution, facilitated by an active community of scholars throughout the world. Along its evolutionary path, there has been increased recognition of the need for a crisper and more precise delineation of the foundational premises and specification of the axioms of S-D logic. It also has become apparent that a limitation of the current foundational premises/axioms is the absence of a clearly articulated specification of the mechanisms of (often massive-scale) coordination and cooperation involved in the cocreation of value through markets and, more broadly, in society. This is especially important because markets are even more about cooperation than about the competition that is more frequently discussed. To alleviate this limitation and facilitate a better understanding of cooperation (and coordination), an eleventh foundational premise (fifth axiom) is introduced, focusing on the role of institutions and institutional arrangements in systems of value cocreation: service ecosystems. Literature on institutions across multiple social disciplines, including marketing, is briefly reviewed and offered as further support for this fifth axiom.","author":[{"dropping-particle":"","family":"Vargo","given":"Stephen L.","non-dropping-particle":"","parse-names":false,"suffix":""},{"dropping-particle":"","family":"Lusch","given":"Robert F.","non-dropping-particle":"","parse-names":false,"suffix":""}],"container-title":"Journal of the Academy of Marketing Science","id":"ITEM-5","issue":"1","issued":{"date-parts":[["2016"]]},"page":"5-23","title":"Institutions and axioms: an extension and update of service-dominant logic","type":"article-journal","volume":"44"},"uris":["http://www.mendeley.com/documents/?uuid=8fc63526-b570-46ce-b2fb-5dd3aebdea00"]}],"mendeley":{"formattedCitation":"(Vargo and Lusch, 2004a, 2006, 2008, 2012, 2016)","plainTextFormattedCitation":"(Vargo and Lusch, 2004a, 2006, 2008, 2012, 2016)","previouslyFormattedCitation":"(Vargo and Lusch, 2004a, 2006, 2008, 2012, 2016)"},"properties":{"noteIndex":0},"schema":"https://github.com/citation-style-language/schema/raw/master/csl-citation.json"}</w:instrText>
      </w:r>
      <w:r w:rsidRPr="0097670D">
        <w:rPr>
          <w:sz w:val="22"/>
          <w:szCs w:val="22"/>
        </w:rPr>
        <w:fldChar w:fldCharType="separate"/>
      </w:r>
      <w:r w:rsidRPr="0097670D">
        <w:rPr>
          <w:noProof/>
          <w:sz w:val="22"/>
          <w:szCs w:val="22"/>
        </w:rPr>
        <w:t>(Vargo and Lusch, 2004a, 2006, 2008, 2012, 2016)</w:t>
      </w:r>
      <w:r w:rsidRPr="0097670D">
        <w:rPr>
          <w:sz w:val="22"/>
          <w:szCs w:val="22"/>
        </w:rPr>
        <w:fldChar w:fldCharType="end"/>
      </w:r>
      <w:r w:rsidRPr="0097670D">
        <w:rPr>
          <w:sz w:val="22"/>
          <w:szCs w:val="22"/>
        </w:rPr>
        <w:t xml:space="preserve">, </w:t>
      </w:r>
      <w:bookmarkStart w:id="3" w:name="_Hlk66874507"/>
      <w:r w:rsidRPr="0097670D">
        <w:rPr>
          <w:sz w:val="22"/>
          <w:szCs w:val="22"/>
        </w:rPr>
        <w:t xml:space="preserve">represents the logic of a healthcare provider and a patient mutually applying knowledge and skills in order to actualise value for themselves and others, based on relationships with win-win exchanges </w:t>
      </w:r>
      <w:bookmarkEnd w:id="3"/>
      <w:r w:rsidRPr="0097670D">
        <w:rPr>
          <w:sz w:val="22"/>
          <w:szCs w:val="22"/>
        </w:rPr>
        <w:fldChar w:fldCharType="begin" w:fldLock="1"/>
      </w:r>
      <w:r w:rsidRPr="0097670D">
        <w:rPr>
          <w:sz w:val="22"/>
          <w:szCs w:val="22"/>
        </w:rPr>
        <w:instrText>ADDIN CSL_CITATION {"citationItems":[{"id":"ITEM-1","itemData":{"DOI":"10.2147/ieh.s93473","ISSN":"2324-5905","abstract":"Consumers value health and a sense of well-being. The health care system cannot supply these values, but only “products” such as hospitalization, ambulatory care, medica- tions, procedures, and preventative care. These components of health care represent neither the value within the system nor the desired final output. Nonetheless, the health care system has focused inordinately on the products, to the point of suggesting that they have intrinsic value. We link this situation to the concept of goods-dominant logic, which has dominated business and managerial thinking since the Industrial Revolution. We then explain why and how moving to service-dominant logic is essential for consumers and providers to better cocreate value from products which are not intrinsically valuable. The challenge of cocreating value is confounded by information asymmetry, and by the myriad factors in the health care ecosystem that contribute to or detract from health and well-being. A new lexicon, emanating from service-dominant logic, is suggested to facilitate the move away from a goods-dominant mindset.","author":[{"dropping-particle":"","family":"Joiner","given":"Keith","non-dropping-particle":"","parse-names":false,"suffix":""},{"dropping-particle":"","family":"Lusch","given":"Robert","non-dropping-particle":"","parse-names":false,"suffix":""}],"container-title":"Innovation and Entrepreneurship in Health","id":"ITEM-1","issued":{"date-parts":[["2016"]]},"page":"25","title":"Evolving to a new service-dominant logic for health care","type":"article-journal"},"uris":["http://www.mendeley.com/documents/?uuid=e445a5bd-08f6-4c02-a72f-82d550edbb5f"]}],"mendeley":{"formattedCitation":"(Joiner and Lusch, 2016)","plainTextFormattedCitation":"(Joiner and Lusch, 2016)","previouslyFormattedCitation":"(Joiner and Lusch, 2016)"},"properties":{"noteIndex":0},"schema":"https://github.com/citation-style-language/schema/raw/master/csl-citation.json"}</w:instrText>
      </w:r>
      <w:r w:rsidRPr="0097670D">
        <w:rPr>
          <w:sz w:val="22"/>
          <w:szCs w:val="22"/>
        </w:rPr>
        <w:fldChar w:fldCharType="separate"/>
      </w:r>
      <w:r w:rsidRPr="0097670D">
        <w:rPr>
          <w:noProof/>
          <w:sz w:val="22"/>
          <w:szCs w:val="22"/>
        </w:rPr>
        <w:t>(Joiner and Lusch, 2016)</w:t>
      </w:r>
      <w:r w:rsidRPr="0097670D">
        <w:rPr>
          <w:sz w:val="22"/>
          <w:szCs w:val="22"/>
        </w:rPr>
        <w:fldChar w:fldCharType="end"/>
      </w:r>
      <w:r w:rsidRPr="0097670D">
        <w:rPr>
          <w:sz w:val="22"/>
          <w:szCs w:val="22"/>
        </w:rPr>
        <w:t>. Both the healthcare provider and the patient integrate resources, learn from each other, and experience the service.</w:t>
      </w:r>
    </w:p>
    <w:p w14:paraId="01B82A56" w14:textId="44957D7B" w:rsidR="002147D8" w:rsidRPr="0097670D" w:rsidRDefault="00890C24">
      <w:pPr>
        <w:spacing w:line="480" w:lineRule="auto"/>
        <w:ind w:firstLine="284"/>
        <w:jc w:val="both"/>
        <w:rPr>
          <w:sz w:val="22"/>
          <w:szCs w:val="22"/>
        </w:rPr>
      </w:pPr>
      <w:r w:rsidRPr="0097670D">
        <w:rPr>
          <w:sz w:val="22"/>
          <w:szCs w:val="22"/>
        </w:rPr>
        <w:t xml:space="preserve">An important point stated as one of the fundamental premises of the S-D logic </w:t>
      </w:r>
      <w:r w:rsidRPr="0097670D">
        <w:rPr>
          <w:sz w:val="22"/>
          <w:szCs w:val="22"/>
        </w:rPr>
        <w:fldChar w:fldCharType="begin" w:fldLock="1"/>
      </w:r>
      <w:r w:rsidRPr="0097670D">
        <w:rPr>
          <w:sz w:val="22"/>
          <w:szCs w:val="22"/>
        </w:rPr>
        <w:instrText>ADDIN CSL_CITATION {"citationItems":[{"id":"ITEM-1","itemData":{"DOI":"10.1007/s11747-007-0069-6","ISSN":"00920703","abstract":"Since the introductory article for what has become known as the \"service-dominant (S-D) logic of marketing,\" \"Evolving to a New Dominant Logic for Marketing,\" was published in the Journal of Marketing (Vargo, S. L., &amp; Lusch, R. F. (2004a)), there has been considerable discussion and elaboration of its specifics. This article highlights and clarifies the salient issues associated with S-D logic and updates the original foundational premises (FPs) and adds an FP. Directions for future work are also discussed. © Academy of Marketing Science 2007.","author":[{"dropping-particle":"","family":"Vargo","given":"Stephen L.","non-dropping-particle":"","parse-names":false,"suffix":""},{"dropping-particle":"","family":"Lusch","given":"Robert F.","non-dropping-particle":"","parse-names":false,"suffix":""}],"container-title":"Journal of the Academy of Marketing Science","id":"ITEM-1","issue":"1","issued":{"date-parts":[["2008"]]},"page":"1-10","title":"Service-dominant logic: Continuing the evolution","type":"article-journal","volume":"36"},"uris":["http://www.mendeley.com/documents/?uuid=f2def7b5-f37b-3681-aa26-bd6de23be6f2"]}],"mendeley":{"formattedCitation":"(Vargo and Lusch, 2008)","plainTextFormattedCitation":"(Vargo and Lusch, 2008)","previouslyFormattedCitation":"(Vargo and Lusch, 2008)"},"properties":{"noteIndex":0},"schema":"https://github.com/citation-style-language/schema/raw/master/csl-citation.json"}</w:instrText>
      </w:r>
      <w:r w:rsidRPr="0097670D">
        <w:rPr>
          <w:sz w:val="22"/>
          <w:szCs w:val="22"/>
        </w:rPr>
        <w:fldChar w:fldCharType="separate"/>
      </w:r>
      <w:r w:rsidRPr="0097670D">
        <w:rPr>
          <w:noProof/>
          <w:sz w:val="22"/>
          <w:szCs w:val="22"/>
        </w:rPr>
        <w:t>(Vargo and Lusch, 2008)</w:t>
      </w:r>
      <w:r w:rsidRPr="0097670D">
        <w:rPr>
          <w:sz w:val="22"/>
          <w:szCs w:val="22"/>
        </w:rPr>
        <w:fldChar w:fldCharType="end"/>
      </w:r>
      <w:r w:rsidRPr="0097670D">
        <w:rPr>
          <w:sz w:val="22"/>
          <w:szCs w:val="22"/>
        </w:rPr>
        <w:t xml:space="preserve"> is that ‘</w:t>
      </w:r>
      <w:r w:rsidRPr="0097670D">
        <w:rPr>
          <w:sz w:val="22"/>
        </w:rPr>
        <w:t xml:space="preserve">value is always uniquely and phenomenologically determined by the </w:t>
      </w:r>
      <w:r w:rsidRPr="0097670D">
        <w:rPr>
          <w:sz w:val="22"/>
          <w:szCs w:val="22"/>
        </w:rPr>
        <w:lastRenderedPageBreak/>
        <w:t xml:space="preserve">beneficiary’. What is the role of the service provider, then, in the value co-creation process? </w:t>
      </w:r>
      <w:r w:rsidRPr="0097670D">
        <w:rPr>
          <w:sz w:val="22"/>
          <w:szCs w:val="22"/>
        </w:rPr>
        <w:fldChar w:fldCharType="begin" w:fldLock="1"/>
      </w:r>
      <w:r w:rsidRPr="0097670D">
        <w:rPr>
          <w:sz w:val="22"/>
          <w:szCs w:val="22"/>
        </w:rPr>
        <w:instrText>ADDIN CSL_CITATION {"citationItems":[{"id":"ITEM-1","itemData":{"DOI":"10.1362/147539207x223357","ISSN":"14753928","abstract":"Since the 1970s, services marketing has grown into a major subdiscipline of marketing. It is constantly claimed - but is refuted in the article - that services are now the dominant economic activity in developed countries and keeps growing while the two traditional goods sectors, manufacturing and agriculture, are declining. An unsolved problem that has been swept under the carpet is the fact that goods and services always appear together. An international debate on the content of services marketing and marketing in general is in progress, especially fuelled by the service-dominant logic suggested by Vargo and Lusch (2004a). This new logic is a synthesis of knowledge and ideas that have been brewing over many decades. Among its tenets are that customers are not buying goods or services but value propositions to be of service to them, that customers are co-creators, and that value is actualised in the customer usage process rather than in the supplier value chain. The purpose of the article is to help break a deadlock of taken-for-granted \"truths\" in marketing, stimulate the emergence of more valid and relevant marketing theory and even uncover the inner secrets of marketing, its genome. In fulfilling this purpose the author points to the need to rethink several marketing-related issues, among them the economic sectors; alleged differences between goods and services; where and when marketing occurs; the interdependence between quality, productivity and profits; the roles of supplier and customer; the importance of customer-to-customer interaction (C2C); the high tech/high touch balance; the marketing mix; and relational and interactive approaches to marketing. Finally, the article questions the relevance of the marketing concept and customer centricity, advocating the need to apply \"balanced centricity\" and a stakeholder and network approach, epitomised by the author's concept many-to-many marketing. ABSTRACT FROM AUTHOR]; Copyright of Journal of Customer Behaviour is the property of Westburn Publishers Ltd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Abstracts.)","author":[{"dropping-particle":"","family":"Gummesson","given":"Evert","non-dropping-particle":"","parse-names":false,"suffix":""}],"container-title":"Journal of Customer Behaviour","id":"ITEM-1","issue":"2","issued":{"date-parts":[["2007"]]},"page":"113-141","title":"Exit services marketing - enter service marketing","type":"article-journal","volume":"6"},"uris":["http://www.mendeley.com/documents/?uuid=0b97a02d-b910-4a0a-9399-5c9862c14e66"]}],"mendeley":{"formattedCitation":"(Gummesson, 2007)","manualFormatting":"Gummesson (2007)","plainTextFormattedCitation":"(Gummesson, 2007)","previouslyFormattedCitation":"(Gummesson, 2007)"},"properties":{"noteIndex":0},"schema":"https://github.com/citation-style-language/schema/raw/master/csl-citation.json"}</w:instrText>
      </w:r>
      <w:r w:rsidRPr="0097670D">
        <w:rPr>
          <w:sz w:val="22"/>
          <w:szCs w:val="22"/>
        </w:rPr>
        <w:fldChar w:fldCharType="separate"/>
      </w:r>
      <w:r w:rsidRPr="0097670D">
        <w:rPr>
          <w:noProof/>
          <w:sz w:val="22"/>
          <w:szCs w:val="22"/>
        </w:rPr>
        <w:t>Gummesson (2007)</w:t>
      </w:r>
      <w:r w:rsidRPr="0097670D">
        <w:rPr>
          <w:sz w:val="22"/>
          <w:szCs w:val="22"/>
        </w:rPr>
        <w:fldChar w:fldCharType="end"/>
      </w:r>
      <w:r w:rsidRPr="0097670D">
        <w:rPr>
          <w:sz w:val="22"/>
          <w:szCs w:val="22"/>
        </w:rPr>
        <w:t xml:space="preserve"> states that the service provider is not only responsible for offering a value proposition, the actualization of which occurs during the customer’s </w:t>
      </w:r>
      <w:r w:rsidR="00D02C7D" w:rsidRPr="0097670D">
        <w:rPr>
          <w:sz w:val="22"/>
          <w:szCs w:val="22"/>
        </w:rPr>
        <w:t xml:space="preserve">service </w:t>
      </w:r>
      <w:r w:rsidRPr="0097670D">
        <w:rPr>
          <w:sz w:val="22"/>
          <w:szCs w:val="22"/>
        </w:rPr>
        <w:t xml:space="preserve">usage, but also for how important the customer–supplier interactions are in co-creating value. Other studies pointed out that co-created value can bring mutual benefits for the actors involved </w:t>
      </w:r>
      <w:r w:rsidRPr="0097670D">
        <w:rPr>
          <w:sz w:val="22"/>
          <w:szCs w:val="22"/>
        </w:rPr>
        <w:fldChar w:fldCharType="begin" w:fldLock="1"/>
      </w:r>
      <w:r w:rsidRPr="0097670D">
        <w:rPr>
          <w:sz w:val="22"/>
          <w:szCs w:val="22"/>
        </w:rPr>
        <w:instrText>ADDIN CSL_CITATION {"citationItems":[{"id":"ITEM-1","itemData":{"DOI":"10.1016/j.indmarman.2010.06.030","ISSN":"00198501","author":[{"dropping-particle":"","family":"Ramaswamy","given":"Venkat","non-dropping-particle":"","parse-names":false,"suffix":""}],"container-title":"Industrial Marketing Management","id":"ITEM-1","issue":"2","issued":{"date-parts":[["2011"]]},"page":"195-196","publisher":"Elsevier Inc.","title":"It's about human experiences...and beyond, to co-creation","type":"article-journal","volume":"40"},"uris":["http://www.mendeley.com/documents/?uuid=099d0ec4-8d15-4051-9bb3-06b0607f377f"]}],"mendeley":{"formattedCitation":"(Ramaswamy, 2011)","plainTextFormattedCitation":"(Ramaswamy, 2011)","previouslyFormattedCitation":"(Ramaswamy, 2011)"},"properties":{"noteIndex":0},"schema":"https://github.com/citation-style-language/schema/raw/master/csl-citation.json"}</w:instrText>
      </w:r>
      <w:r w:rsidRPr="0097670D">
        <w:rPr>
          <w:sz w:val="22"/>
          <w:szCs w:val="22"/>
        </w:rPr>
        <w:fldChar w:fldCharType="separate"/>
      </w:r>
      <w:r w:rsidRPr="0097670D">
        <w:rPr>
          <w:noProof/>
          <w:sz w:val="22"/>
          <w:szCs w:val="22"/>
        </w:rPr>
        <w:t>(Ramaswamy, 2011)</w:t>
      </w:r>
      <w:r w:rsidRPr="0097670D">
        <w:rPr>
          <w:sz w:val="22"/>
          <w:szCs w:val="22"/>
        </w:rPr>
        <w:fldChar w:fldCharType="end"/>
      </w:r>
      <w:r w:rsidRPr="0097670D">
        <w:rPr>
          <w:sz w:val="22"/>
          <w:szCs w:val="22"/>
        </w:rPr>
        <w:t xml:space="preserve"> by, for example, improving service quality by taking into account patient feedback </w:t>
      </w:r>
      <w:r w:rsidRPr="0097670D">
        <w:rPr>
          <w:sz w:val="22"/>
          <w:szCs w:val="22"/>
        </w:rPr>
        <w:fldChar w:fldCharType="begin" w:fldLock="1"/>
      </w:r>
      <w:r w:rsidRPr="0097670D">
        <w:rPr>
          <w:sz w:val="22"/>
          <w:szCs w:val="22"/>
        </w:rPr>
        <w:instrText>ADDIN CSL_CITATION {"citationItems":[{"id":"ITEM-1","itemData":{"DOI":"10.1016/j.promfg.2015.07.129","ISSN":"23519789","abstract":"The concepts of value co-creation and S-D logic have been widely used in industrial services. However, their application in healthcare services still remain in the theoretical and experimental phase. This study develops a model for the practical application of value co-creation in healthcare services. It improves the service quality by collecting the rating of patients’ satisfaction for service and interpreting their feedback into promotion strategies. Since patients are regarded as the customers, which makes patients the value co-creators in healthcare services, understanding patients’ satisfaction and demands from their feedback can give healthcare providers a better insight of the improvement spaces for healthcare services. Satisfaction is the core outcome measure for healthcare service which can be used to evaluate the performance of healthcare providers, enhance service training programs, and obtain insights into management strategies. The model illustrates that collecting and analysing the patients’ feedback in a systematic way can involve patients in co-creating value for healthcare service efficiently.","author":[{"dropping-particle":"","family":"Zhang","given":"Le","non-dropping-particle":"","parse-names":false,"suffix":""},{"dropping-particle":"","family":"Tong","given":"Hangjun","non-dropping-particle":"","parse-names":false,"suffix":""},{"dropping-particle":"","family":"Demirel","given":"H. Onan","non-dropping-particle":"","parse-names":false,"suffix":""},{"dropping-particle":"","family":"Duffy","given":"Vincent G.","non-dropping-particle":"","parse-names":false,"suffix":""},{"dropping-particle":"","family":"Yih","given":"Yuehwern","non-dropping-particle":"","parse-names":false,"suffix":""},{"dropping-particle":"","family":"Bidassie","given":"Balmatee","non-dropping-particle":"","parse-names":false,"suffix":""}],"container-title":"Procedia Manufacturing","id":"ITEM-1","issued":{"date-parts":[["2015"]]},"page":"200-207","publisher":"Elsevier B.V.","title":"A Practical Model of Value Co-creation in Healthcare Service","type":"article-journal","volume":"3"},"uris":["http://www.mendeley.com/documents/?uuid=9339b6f9-e8a6-31bc-90dc-3af0a8fbc938"]}],"mendeley":{"formattedCitation":"(Zhang et al., 2015)","plainTextFormattedCitation":"(Zhang et al., 2015)","previouslyFormattedCitation":"(Zhang et al., 2015)"},"properties":{"noteIndex":0},"schema":"https://github.com/citation-style-language/schema/raw/master/csl-citation.json"}</w:instrText>
      </w:r>
      <w:r w:rsidRPr="0097670D">
        <w:rPr>
          <w:sz w:val="22"/>
          <w:szCs w:val="22"/>
        </w:rPr>
        <w:fldChar w:fldCharType="separate"/>
      </w:r>
      <w:r w:rsidRPr="0097670D">
        <w:rPr>
          <w:noProof/>
          <w:sz w:val="22"/>
          <w:szCs w:val="22"/>
        </w:rPr>
        <w:t xml:space="preserve">(Zhang </w:t>
      </w:r>
      <w:r w:rsidRPr="0097670D">
        <w:rPr>
          <w:i/>
          <w:iCs/>
          <w:noProof/>
          <w:sz w:val="22"/>
          <w:szCs w:val="22"/>
        </w:rPr>
        <w:t>et al.</w:t>
      </w:r>
      <w:r w:rsidRPr="0097670D">
        <w:rPr>
          <w:noProof/>
          <w:sz w:val="22"/>
          <w:szCs w:val="22"/>
        </w:rPr>
        <w:t>, 2015)</w:t>
      </w:r>
      <w:r w:rsidRPr="0097670D">
        <w:rPr>
          <w:sz w:val="22"/>
          <w:szCs w:val="22"/>
        </w:rPr>
        <w:fldChar w:fldCharType="end"/>
      </w:r>
      <w:r w:rsidRPr="0097670D">
        <w:rPr>
          <w:sz w:val="22"/>
          <w:szCs w:val="22"/>
        </w:rPr>
        <w:t xml:space="preserve">, developing tools that enable the co-execution of healthcare services </w:t>
      </w:r>
      <w:r w:rsidRPr="0097670D">
        <w:rPr>
          <w:sz w:val="22"/>
          <w:szCs w:val="22"/>
        </w:rPr>
        <w:fldChar w:fldCharType="begin" w:fldLock="1"/>
      </w:r>
      <w:r w:rsidRPr="0097670D">
        <w:rPr>
          <w:sz w:val="22"/>
          <w:szCs w:val="22"/>
        </w:rPr>
        <w:instrText>ADDIN CSL_CITATION {"citationItems":[{"id":"ITEM-1","itemData":{"DOI":"10.1136/bmjqs-2015-004315","ISSN":"20445415","abstract":"Efforts to ensure effective participation of patients in healthcare are called by many names - patient centredness, patient engagement, patient experience. Improvement initiatives in this domain often resemble the efforts of manufacturers to engage consumers in designing and marketing products. Services, however, are fundamentally different than products; unlike goods, services are always 'coproduced'. Failure to recognise this unique character of a service and its implications may limit our success in partnering with patients to improve health care. We trace a partial history of the coproduction concept, present a model of healthcare service coproduction and explore its application as a design principle in three healthcare service delivery innovations. We use the principle to examine the roles, relationships and aims of this interdependent work. We explore the principle's implications and challenges for health professional development, for service delivery system design and for understanding and measuring benefit in healthcare services.","author":[{"dropping-particle":"","family":"Batalden","given":"Maren","non-dropping-particle":"","parse-names":false,"suffix":""},{"dropping-particle":"","family":"Batalden","given":"Paul","non-dropping-particle":"","parse-names":false,"suffix":""},{"dropping-particle":"","family":"Margolis","given":"Peter","non-dropping-particle":"","parse-names":false,"suffix":""},{"dropping-particle":"","family":"Seid","given":"Michael","non-dropping-particle":"","parse-names":false,"suffix":""},{"dropping-particle":"","family":"Armstrong","given":"Gail","non-dropping-particle":"","parse-names":false,"suffix":""},{"dropping-particle":"","family":"Opipari-Arrigan","given":"Lisa","non-dropping-particle":"","parse-names":false,"suffix":""},{"dropping-particle":"","family":"Hartung","given":"Hans","non-dropping-particle":"","parse-names":false,"suffix":""}],"container-title":"BMJ Quality and Safety","id":"ITEM-1","issue":"7","issued":{"date-parts":[["2016","7","1"]]},"note":"House of Care description","page":"509-517","publisher":"BMJ Publishing Group","title":"Coproduction of healthcare service","type":"article-journal","volume":"25"},"uris":["http://www.mendeley.com/documents/?uuid=4f7948c1-179d-3302-83d0-40c1ccfd12c5"]}],"mendeley":{"formattedCitation":"(Batalden et al., 2016)","plainTextFormattedCitation":"(Batalden et al., 2016)","previouslyFormattedCitation":"(Batalden et al., 2016)"},"properties":{"noteIndex":0},"schema":"https://github.com/citation-style-language/schema/raw/master/csl-citation.json"}</w:instrText>
      </w:r>
      <w:r w:rsidRPr="0097670D">
        <w:rPr>
          <w:sz w:val="22"/>
          <w:szCs w:val="22"/>
        </w:rPr>
        <w:fldChar w:fldCharType="separate"/>
      </w:r>
      <w:r w:rsidRPr="0097670D">
        <w:rPr>
          <w:noProof/>
          <w:sz w:val="22"/>
          <w:szCs w:val="22"/>
        </w:rPr>
        <w:t xml:space="preserve">(Batalden </w:t>
      </w:r>
      <w:r w:rsidRPr="0097670D">
        <w:rPr>
          <w:i/>
          <w:iCs/>
          <w:noProof/>
          <w:sz w:val="22"/>
          <w:szCs w:val="22"/>
        </w:rPr>
        <w:t>et al.</w:t>
      </w:r>
      <w:r w:rsidRPr="0097670D">
        <w:rPr>
          <w:noProof/>
          <w:sz w:val="22"/>
          <w:szCs w:val="22"/>
        </w:rPr>
        <w:t>, 2016)</w:t>
      </w:r>
      <w:r w:rsidRPr="0097670D">
        <w:rPr>
          <w:sz w:val="22"/>
          <w:szCs w:val="22"/>
        </w:rPr>
        <w:fldChar w:fldCharType="end"/>
      </w:r>
      <w:r w:rsidRPr="0097670D">
        <w:rPr>
          <w:sz w:val="22"/>
          <w:szCs w:val="22"/>
        </w:rPr>
        <w:t xml:space="preserve">, and obtaining new ideas and learning from customers in healthcare service development </w:t>
      </w:r>
      <w:r w:rsidRPr="0097670D">
        <w:rPr>
          <w:sz w:val="22"/>
          <w:szCs w:val="22"/>
        </w:rPr>
        <w:fldChar w:fldCharType="begin" w:fldLock="1"/>
      </w:r>
      <w:r w:rsidRPr="0097670D">
        <w:rPr>
          <w:sz w:val="22"/>
          <w:szCs w:val="22"/>
        </w:rPr>
        <w:instrText>ADDIN CSL_CITATION {"citationItems":[{"id":"ITEM-1","itemData":{"DOI":"10.1108/09564231211248435","ISSN":"17575818","abstract":"Purpose: The purpose of this study is to develop and evaluate a model for patient co-creation and learning based on diaries for use in health-care service development. In particular, the study aims to investigate the process of patient co-creation and different mechanisms through which health-care service providers can learn from the patient. Design/methodology/approach: The study is based on an action research approach. First, a development phase for patient co-creation and learning leading to a proposed model was conducted. Second, a test phase of the diary-based method was performed on 53 patients in three cases: orthopaedic care, rehabilitation care and gastroenterology care. Findings: The study suggests a model for co-creation and learning in health-care service development through three learning methods. First, the model may be used as a means for generating and collecting patient ideas; second, a single patient's story can be illustrated and can serve as incentive for health-care service development and creation of patient-centred care; finally, a larger number of diaries can be analysed and combined with patient surveys to provide a deeper understanding of how the patient experiences health care services. Originality/value: This study extends the research on diary-based methods as an operationalisation of co-creation in two ways. First, the study offers new and more diverse ways of using the rich material provided by customer diaries in the development of services. Second, the study suggests a co-creation approach of involving patients in health-care service development through patient diaries. © Emerald Group Publishing Limited.","author":[{"dropping-particle":"","family":"Elg","given":"Mattias","non-dropping-particle":"","parse-names":false,"suffix":""},{"dropping-particle":"","family":"Engström","given":"Jon","non-dropping-particle":"","parse-names":false,"suffix":""},{"dropping-particle":"","family":"Witell","given":"Lars","non-dropping-particle":"","parse-names":false,"suffix":""},{"dropping-particle":"","family":"Poksinska","given":"Bozena","non-dropping-particle":"","parse-names":false,"suffix":""}],"container-title":"Journal of Service Management","id":"ITEM-1","issue":"3","issued":{"date-parts":[["2012","6"]]},"page":"328-343","title":"Co-creation and learning in health-care service development","type":"article-journal","volume":"23"},"uris":["http://www.mendeley.com/documents/?uuid=916c892d-266f-3187-aca4-40aca90ca2c4"]}],"mendeley":{"formattedCitation":"(Elg et al., 2012)","plainTextFormattedCitation":"(Elg et al., 2012)","previouslyFormattedCitation":"(Elg et al., 2012)"},"properties":{"noteIndex":0},"schema":"https://github.com/citation-style-language/schema/raw/master/csl-citation.json"}</w:instrText>
      </w:r>
      <w:r w:rsidRPr="0097670D">
        <w:rPr>
          <w:sz w:val="22"/>
          <w:szCs w:val="22"/>
        </w:rPr>
        <w:fldChar w:fldCharType="separate"/>
      </w:r>
      <w:r w:rsidRPr="0097670D">
        <w:rPr>
          <w:noProof/>
          <w:sz w:val="22"/>
          <w:szCs w:val="22"/>
        </w:rPr>
        <w:t xml:space="preserve">(Elg </w:t>
      </w:r>
      <w:r w:rsidRPr="0097670D">
        <w:rPr>
          <w:i/>
          <w:iCs/>
          <w:noProof/>
          <w:sz w:val="22"/>
          <w:szCs w:val="22"/>
        </w:rPr>
        <w:t>et al.</w:t>
      </w:r>
      <w:r w:rsidRPr="0097670D">
        <w:rPr>
          <w:noProof/>
          <w:sz w:val="22"/>
          <w:szCs w:val="22"/>
        </w:rPr>
        <w:t>, 2012)</w:t>
      </w:r>
      <w:r w:rsidRPr="0097670D">
        <w:rPr>
          <w:sz w:val="22"/>
          <w:szCs w:val="22"/>
        </w:rPr>
        <w:fldChar w:fldCharType="end"/>
      </w:r>
      <w:r w:rsidRPr="0097670D">
        <w:rPr>
          <w:sz w:val="22"/>
          <w:szCs w:val="22"/>
        </w:rPr>
        <w:t>.</w:t>
      </w:r>
    </w:p>
    <w:p w14:paraId="113CE742" w14:textId="74DFCCA0" w:rsidR="002147D8" w:rsidRPr="0097670D" w:rsidRDefault="00DD223D">
      <w:pPr>
        <w:spacing w:line="480" w:lineRule="auto"/>
        <w:ind w:firstLine="284"/>
        <w:jc w:val="both"/>
        <w:rPr>
          <w:sz w:val="22"/>
          <w:szCs w:val="22"/>
        </w:rPr>
      </w:pPr>
      <w:r w:rsidRPr="00285A4F">
        <w:rPr>
          <w:sz w:val="22"/>
          <w:szCs w:val="22"/>
        </w:rPr>
        <w:t>How do patients co-create value</w:t>
      </w:r>
      <w:r w:rsidR="00890C24" w:rsidRPr="00285A4F">
        <w:rPr>
          <w:sz w:val="22"/>
          <w:szCs w:val="22"/>
        </w:rPr>
        <w:t xml:space="preserve">? This question has been discussed by </w:t>
      </w:r>
      <w:r w:rsidR="00890C24" w:rsidRPr="00285A4F">
        <w:rPr>
          <w:sz w:val="22"/>
          <w:szCs w:val="22"/>
        </w:rPr>
        <w:fldChar w:fldCharType="begin" w:fldLock="1"/>
      </w:r>
      <w:r w:rsidR="00890C24" w:rsidRPr="00285A4F">
        <w:rPr>
          <w:sz w:val="22"/>
          <w:szCs w:val="22"/>
        </w:rPr>
        <w:instrText>ADDIN CSL_CITATION {"citationItems":[{"id":"ITEM-1","itemData":{"DOI":"10.1177/1094670512442806","ISSN":"10946705","abstract":"This article explores in-depth what health care customers actually do when they cocreate value. Combining previously published research with data collected from depth interviews, field observation, and focus groups, the authors identify distinct styles of health care customer value cocreation practice. Importantly, the authors show how customers can contribute to their own value creation through their own (self) activities in managing their health care. Building on past work in service-dominant (S-D) logic, consumer culture theory and social practice theory, the authors identify \"roles,\" \"activities,\" and \"interactions\" that underlie customer cocreation of value in health care. The authors uncover five groupings of customer value cocreation practices yielding a typology of practice styles and link these to quality of life. The practice styles are \"team management,\" \"insular controlling,\" \"partnering,\" \"pragmatic adapting,\" and \"passive compliance.\" Two in particular, team management and partnering, should be encouraged by managers as they tend to be associated with higher quality of life. The authors provide a health care Customer Value Cocreation Practice Styles (CVCPS) typology. The usefulness of the typology is demonstrated by showing links to quality of life and its potential application to other health care settings. © The Author(s) 2012.","author":[{"dropping-particle":"","family":"McColl-Kennedy","given":"Janet R.","non-dropping-particle":"","parse-names":false,"suffix":""},{"dropping-particle":"","family":"Vargo","given":"Stephen L.","non-dropping-particle":"","parse-names":false,"suffix":""},{"dropping-particle":"","family":"Dagger","given":"Tracey S.","non-dropping-particle":"","parse-names":false,"suffix":""},{"dropping-particle":"","family":"Sweeney","given":"Jillian C.","non-dropping-particle":"","parse-names":false,"suffix":""},{"dropping-particle":"","family":"Kasteren","given":"Yasmin","non-dropping-particle":"van","parse-names":false,"suffix":""}],"container-title":"Journal of Service Research","id":"ITEM-1","issue":"4","issued":{"date-parts":[["2012","11"]]},"page":"370-389","title":"Health Care Customer Value Cocreation Practice Styles","type":"article-journal","volume":"15"},"uris":["http://www.mendeley.com/documents/?uuid=21604ebe-bf57-3f7f-b4ef-39273b5c26ba"]}],"mendeley":{"formattedCitation":"(McColl-Kennedy et al., 2012)","manualFormatting":"McColl-Kennedy et al. (2012)","plainTextFormattedCitation":"(McColl-Kennedy et al., 2012)","previouslyFormattedCitation":"(McColl-Kennedy et al., 2012)"},"properties":{"noteIndex":0},"schema":"https://github.com/citation-style-language/schema/raw/master/csl-citation.json"}</w:instrText>
      </w:r>
      <w:r w:rsidR="00890C24" w:rsidRPr="00285A4F">
        <w:rPr>
          <w:sz w:val="22"/>
          <w:szCs w:val="22"/>
        </w:rPr>
        <w:fldChar w:fldCharType="separate"/>
      </w:r>
      <w:r w:rsidR="00890C24" w:rsidRPr="00285A4F">
        <w:rPr>
          <w:noProof/>
          <w:sz w:val="22"/>
          <w:szCs w:val="22"/>
        </w:rPr>
        <w:t xml:space="preserve">McColl-Kennedy </w:t>
      </w:r>
      <w:r w:rsidR="00890C24" w:rsidRPr="00285A4F">
        <w:rPr>
          <w:i/>
          <w:iCs/>
          <w:noProof/>
          <w:sz w:val="22"/>
          <w:szCs w:val="22"/>
        </w:rPr>
        <w:t>et al.</w:t>
      </w:r>
      <w:r w:rsidR="00890C24" w:rsidRPr="00285A4F">
        <w:rPr>
          <w:noProof/>
          <w:sz w:val="22"/>
          <w:szCs w:val="22"/>
        </w:rPr>
        <w:t xml:space="preserve"> (2012)</w:t>
      </w:r>
      <w:r w:rsidR="00890C24" w:rsidRPr="00285A4F">
        <w:rPr>
          <w:sz w:val="22"/>
          <w:szCs w:val="22"/>
        </w:rPr>
        <w:fldChar w:fldCharType="end"/>
      </w:r>
      <w:r w:rsidR="00890C24" w:rsidRPr="00285A4F">
        <w:rPr>
          <w:sz w:val="22"/>
          <w:szCs w:val="22"/>
        </w:rPr>
        <w:t>, who divided patients’ value co-creation activities into ‘low-level’ activities, such as compliance with physician indications and collating information, and ‘high-level’ activities, such as co-learning, actively searching for information, and providing feedback.</w:t>
      </w:r>
      <w:r w:rsidR="00890C24" w:rsidRPr="0097670D">
        <w:rPr>
          <w:sz w:val="22"/>
          <w:szCs w:val="22"/>
        </w:rPr>
        <w:t xml:space="preserve"> In Table I, the eight themes of activities identified in </w:t>
      </w:r>
      <w:r w:rsidR="00890C24" w:rsidRPr="0097670D">
        <w:rPr>
          <w:sz w:val="22"/>
          <w:szCs w:val="22"/>
        </w:rPr>
        <w:fldChar w:fldCharType="begin" w:fldLock="1"/>
      </w:r>
      <w:r w:rsidR="00890C24" w:rsidRPr="0097670D">
        <w:rPr>
          <w:sz w:val="22"/>
          <w:szCs w:val="22"/>
        </w:rPr>
        <w:instrText>ADDIN CSL_CITATION {"citationItems":[{"id":"ITEM-1","itemData":{"DOI":"10.1177/1094670512442806","ISSN":"10946705","abstract":"This article explores in-depth what health care customers actually do when they cocreate value. Combining previously published research with data collected from depth interviews, field observation, and focus groups, the authors identify distinct styles of health care customer value cocreation practice. Importantly, the authors show how customers can contribute to their own value creation through their own (self) activities in managing their health care. Building on past work in service-dominant (S-D) logic, consumer culture theory and social practice theory, the authors identify \"roles,\" \"activities,\" and \"interactions\" that underlie customer cocreation of value in health care. The authors uncover five groupings of customer value cocreation practices yielding a typology of practice styles and link these to quality of life. The practice styles are \"team management,\" \"insular controlling,\" \"partnering,\" \"pragmatic adapting,\" and \"passive compliance.\" Two in particular, team management and partnering, should be encouraged by managers as they tend to be associated with higher quality of life. The authors provide a health care Customer Value Cocreation Practice Styles (CVCPS) typology. The usefulness of the typology is demonstrated by showing links to quality of life and its potential application to other health care settings. © The Author(s) 2012.","author":[{"dropping-particle":"","family":"McColl-Kennedy","given":"Janet R.","non-dropping-particle":"","parse-names":false,"suffix":""},{"dropping-particle":"","family":"Vargo","given":"Stephen L.","non-dropping-particle":"","parse-names":false,"suffix":""},{"dropping-particle":"","family":"Dagger","given":"Tracey S.","non-dropping-particle":"","parse-names":false,"suffix":""},{"dropping-particle":"","family":"Sweeney","given":"Jillian C.","non-dropping-particle":"","parse-names":false,"suffix":""},{"dropping-particle":"","family":"Kasteren","given":"Yasmin","non-dropping-particle":"van","parse-names":false,"suffix":""}],"container-title":"Journal of Service Research","id":"ITEM-1","issue":"4","issued":{"date-parts":[["2012","11"]]},"page":"370-389","title":"Health Care Customer Value Cocreation Practice Styles","type":"article-journal","volume":"15"},"uris":["http://www.mendeley.com/documents/?uuid=21604ebe-bf57-3f7f-b4ef-39273b5c26ba"]}],"mendeley":{"formattedCitation":"(McColl-Kennedy et al., 2012)","manualFormatting":"McColl-Kennedy et al. (2012)","plainTextFormattedCitation":"(McColl-Kennedy et al., 2012)","previouslyFormattedCitation":"(McColl-Kennedy et al., 2012)"},"properties":{"noteIndex":0},"schema":"https://github.com/citation-style-language/schema/raw/master/csl-citation.json"}</w:instrText>
      </w:r>
      <w:r w:rsidR="00890C24" w:rsidRPr="0097670D">
        <w:rPr>
          <w:sz w:val="22"/>
          <w:szCs w:val="22"/>
        </w:rPr>
        <w:fldChar w:fldCharType="separate"/>
      </w:r>
      <w:r w:rsidR="00890C24" w:rsidRPr="0097670D">
        <w:rPr>
          <w:noProof/>
          <w:sz w:val="22"/>
          <w:szCs w:val="22"/>
        </w:rPr>
        <w:t xml:space="preserve">McColl-Kennedy </w:t>
      </w:r>
      <w:r w:rsidR="00890C24" w:rsidRPr="0097670D">
        <w:rPr>
          <w:i/>
          <w:iCs/>
          <w:noProof/>
          <w:sz w:val="22"/>
          <w:szCs w:val="22"/>
        </w:rPr>
        <w:t>et al.</w:t>
      </w:r>
      <w:r w:rsidR="00890C24" w:rsidRPr="0097670D">
        <w:rPr>
          <w:noProof/>
          <w:sz w:val="22"/>
          <w:szCs w:val="22"/>
        </w:rPr>
        <w:t xml:space="preserve"> (2012)</w:t>
      </w:r>
      <w:r w:rsidR="00890C24" w:rsidRPr="0097670D">
        <w:rPr>
          <w:sz w:val="22"/>
          <w:szCs w:val="22"/>
        </w:rPr>
        <w:fldChar w:fldCharType="end"/>
      </w:r>
      <w:r w:rsidR="00890C24" w:rsidRPr="0097670D">
        <w:rPr>
          <w:sz w:val="22"/>
          <w:szCs w:val="22"/>
        </w:rPr>
        <w:t xml:space="preserve"> are presented.</w:t>
      </w:r>
    </w:p>
    <w:p w14:paraId="48B9FFD9" w14:textId="77777777" w:rsidR="0097670D" w:rsidRPr="0097670D" w:rsidRDefault="0097670D">
      <w:pPr>
        <w:spacing w:line="480" w:lineRule="auto"/>
        <w:ind w:firstLine="284"/>
        <w:jc w:val="both"/>
        <w:rPr>
          <w:sz w:val="22"/>
          <w:szCs w:val="22"/>
        </w:rPr>
      </w:pPr>
    </w:p>
    <w:p w14:paraId="6880836D" w14:textId="77777777" w:rsidR="002147D8" w:rsidRPr="0097670D" w:rsidRDefault="00890C24">
      <w:pPr>
        <w:pStyle w:val="Didascalia"/>
        <w:keepNext/>
        <w:jc w:val="center"/>
        <w:rPr>
          <w:color w:val="000000" w:themeColor="text1"/>
          <w:sz w:val="22"/>
          <w:szCs w:val="22"/>
        </w:rPr>
      </w:pPr>
      <w:r w:rsidRPr="0097670D">
        <w:rPr>
          <w:color w:val="000000" w:themeColor="text1"/>
          <w:sz w:val="22"/>
          <w:szCs w:val="22"/>
        </w:rPr>
        <w:t xml:space="preserve">Table </w:t>
      </w:r>
      <w:r w:rsidRPr="0097670D">
        <w:rPr>
          <w:color w:val="000000" w:themeColor="text1"/>
          <w:sz w:val="22"/>
          <w:szCs w:val="22"/>
        </w:rPr>
        <w:fldChar w:fldCharType="begin"/>
      </w:r>
      <w:r w:rsidRPr="0097670D">
        <w:rPr>
          <w:color w:val="000000" w:themeColor="text1"/>
          <w:sz w:val="22"/>
          <w:szCs w:val="22"/>
        </w:rPr>
        <w:instrText xml:space="preserve"> SEQ Table \* ROMAN </w:instrText>
      </w:r>
      <w:r w:rsidRPr="0097670D">
        <w:rPr>
          <w:color w:val="000000" w:themeColor="text1"/>
          <w:sz w:val="22"/>
          <w:szCs w:val="22"/>
        </w:rPr>
        <w:fldChar w:fldCharType="separate"/>
      </w:r>
      <w:r w:rsidRPr="0097670D">
        <w:rPr>
          <w:noProof/>
          <w:color w:val="000000" w:themeColor="text1"/>
          <w:sz w:val="22"/>
          <w:szCs w:val="22"/>
        </w:rPr>
        <w:t>I</w:t>
      </w:r>
      <w:r w:rsidRPr="0097670D">
        <w:rPr>
          <w:color w:val="000000" w:themeColor="text1"/>
          <w:sz w:val="22"/>
          <w:szCs w:val="22"/>
        </w:rPr>
        <w:fldChar w:fldCharType="end"/>
      </w:r>
      <w:r w:rsidRPr="0097670D">
        <w:rPr>
          <w:color w:val="000000" w:themeColor="text1"/>
          <w:sz w:val="22"/>
          <w:szCs w:val="22"/>
        </w:rPr>
        <w:t xml:space="preserve"> – Patient value co-creation activities</w:t>
      </w:r>
    </w:p>
    <w:tbl>
      <w:tblPr>
        <w:tblStyle w:val="Grigliatabella"/>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5244"/>
      </w:tblGrid>
      <w:tr w:rsidR="002147D8" w:rsidRPr="0097670D" w14:paraId="258776F0" w14:textId="77777777">
        <w:trPr>
          <w:trHeight w:val="433"/>
        </w:trPr>
        <w:tc>
          <w:tcPr>
            <w:tcW w:w="3261" w:type="dxa"/>
            <w:tcBorders>
              <w:top w:val="single" w:sz="4" w:space="0" w:color="auto"/>
              <w:bottom w:val="single" w:sz="4" w:space="0" w:color="auto"/>
            </w:tcBorders>
            <w:vAlign w:val="center"/>
          </w:tcPr>
          <w:p w14:paraId="253EE323" w14:textId="77777777" w:rsidR="002147D8" w:rsidRPr="0097670D" w:rsidRDefault="00890C24">
            <w:pPr>
              <w:rPr>
                <w:rFonts w:ascii="Times New Roman" w:hAnsi="Times New Roman"/>
                <w:b/>
                <w:bCs/>
                <w:sz w:val="20"/>
                <w:szCs w:val="20"/>
              </w:rPr>
            </w:pPr>
            <w:r w:rsidRPr="0097670D">
              <w:rPr>
                <w:rFonts w:ascii="Times New Roman" w:hAnsi="Times New Roman"/>
                <w:b/>
                <w:bCs/>
                <w:sz w:val="20"/>
                <w:szCs w:val="20"/>
              </w:rPr>
              <w:t>Activity</w:t>
            </w:r>
          </w:p>
        </w:tc>
        <w:tc>
          <w:tcPr>
            <w:tcW w:w="5244" w:type="dxa"/>
            <w:tcBorders>
              <w:top w:val="single" w:sz="4" w:space="0" w:color="auto"/>
              <w:bottom w:val="single" w:sz="4" w:space="0" w:color="auto"/>
            </w:tcBorders>
            <w:vAlign w:val="center"/>
          </w:tcPr>
          <w:p w14:paraId="789C76D3" w14:textId="77777777" w:rsidR="002147D8" w:rsidRPr="0097670D" w:rsidRDefault="00890C24">
            <w:pPr>
              <w:rPr>
                <w:rFonts w:ascii="Times New Roman" w:hAnsi="Times New Roman"/>
                <w:b/>
                <w:bCs/>
                <w:sz w:val="20"/>
                <w:szCs w:val="20"/>
              </w:rPr>
            </w:pPr>
            <w:r w:rsidRPr="0097670D">
              <w:rPr>
                <w:rFonts w:ascii="Times New Roman" w:hAnsi="Times New Roman"/>
                <w:b/>
                <w:bCs/>
                <w:sz w:val="20"/>
                <w:szCs w:val="20"/>
              </w:rPr>
              <w:t>Description</w:t>
            </w:r>
          </w:p>
        </w:tc>
      </w:tr>
      <w:tr w:rsidR="002147D8" w:rsidRPr="0097670D" w14:paraId="135203DD" w14:textId="77777777">
        <w:tc>
          <w:tcPr>
            <w:tcW w:w="3261" w:type="dxa"/>
            <w:tcBorders>
              <w:top w:val="single" w:sz="4" w:space="0" w:color="auto"/>
            </w:tcBorders>
          </w:tcPr>
          <w:p w14:paraId="58EA9972" w14:textId="77777777" w:rsidR="002147D8" w:rsidRPr="0097670D" w:rsidRDefault="00890C24">
            <w:pPr>
              <w:spacing w:line="480" w:lineRule="auto"/>
              <w:jc w:val="both"/>
              <w:rPr>
                <w:rFonts w:ascii="Times New Roman" w:hAnsi="Times New Roman"/>
                <w:sz w:val="20"/>
                <w:szCs w:val="20"/>
              </w:rPr>
            </w:pPr>
            <w:r w:rsidRPr="0097670D">
              <w:rPr>
                <w:rFonts w:ascii="Times New Roman" w:hAnsi="Times New Roman"/>
                <w:sz w:val="20"/>
                <w:szCs w:val="20"/>
              </w:rPr>
              <w:t>Cerebral activities</w:t>
            </w:r>
          </w:p>
        </w:tc>
        <w:tc>
          <w:tcPr>
            <w:tcW w:w="5244" w:type="dxa"/>
            <w:tcBorders>
              <w:top w:val="single" w:sz="4" w:space="0" w:color="auto"/>
            </w:tcBorders>
          </w:tcPr>
          <w:p w14:paraId="3B0D9676" w14:textId="77777777" w:rsidR="002147D8" w:rsidRPr="0097670D" w:rsidRDefault="00890C24">
            <w:pPr>
              <w:pStyle w:val="Paragrafoelenco"/>
              <w:numPr>
                <w:ilvl w:val="0"/>
                <w:numId w:val="21"/>
              </w:numPr>
              <w:spacing w:line="276" w:lineRule="auto"/>
              <w:jc w:val="both"/>
              <w:rPr>
                <w:rFonts w:ascii="Times New Roman" w:hAnsi="Times New Roman" w:cs="Times New Roman"/>
                <w:sz w:val="20"/>
                <w:szCs w:val="20"/>
              </w:rPr>
            </w:pPr>
            <w:r w:rsidRPr="0097670D">
              <w:rPr>
                <w:rFonts w:ascii="Times New Roman" w:eastAsia="Calibri" w:hAnsi="Times New Roman" w:cs="Times New Roman"/>
                <w:sz w:val="20"/>
                <w:szCs w:val="20"/>
              </w:rPr>
              <w:t xml:space="preserve">Mental preparation, positive attitude, actively hoping, acceptance of own condition, emotional </w:t>
            </w:r>
            <w:proofErr w:type="spellStart"/>
            <w:r w:rsidRPr="0097670D">
              <w:rPr>
                <w:rFonts w:ascii="Times New Roman" w:eastAsia="Calibri" w:hAnsi="Times New Roman" w:cs="Times New Roman"/>
                <w:sz w:val="20"/>
                <w:szCs w:val="20"/>
              </w:rPr>
              <w:t>labour</w:t>
            </w:r>
            <w:proofErr w:type="spellEnd"/>
          </w:p>
        </w:tc>
      </w:tr>
      <w:tr w:rsidR="002147D8" w:rsidRPr="0097670D" w14:paraId="51DFDD6E" w14:textId="77777777">
        <w:tc>
          <w:tcPr>
            <w:tcW w:w="3261" w:type="dxa"/>
          </w:tcPr>
          <w:p w14:paraId="4C6AE457" w14:textId="77777777" w:rsidR="002147D8" w:rsidRPr="0097670D" w:rsidRDefault="00890C24">
            <w:pPr>
              <w:spacing w:line="480" w:lineRule="auto"/>
              <w:jc w:val="both"/>
              <w:rPr>
                <w:rFonts w:ascii="Times New Roman" w:hAnsi="Times New Roman"/>
                <w:sz w:val="20"/>
                <w:szCs w:val="20"/>
              </w:rPr>
            </w:pPr>
            <w:r w:rsidRPr="0097670D">
              <w:rPr>
                <w:rFonts w:ascii="Times New Roman" w:hAnsi="Times New Roman"/>
                <w:sz w:val="20"/>
                <w:szCs w:val="20"/>
              </w:rPr>
              <w:t>Changing ways of doing things</w:t>
            </w:r>
          </w:p>
        </w:tc>
        <w:tc>
          <w:tcPr>
            <w:tcW w:w="5244" w:type="dxa"/>
          </w:tcPr>
          <w:p w14:paraId="3BC6BA24" w14:textId="77777777" w:rsidR="002147D8" w:rsidRPr="0097670D" w:rsidRDefault="00890C24">
            <w:pPr>
              <w:pStyle w:val="Paragrafoelenco"/>
              <w:numPr>
                <w:ilvl w:val="0"/>
                <w:numId w:val="21"/>
              </w:numPr>
              <w:spacing w:line="276" w:lineRule="auto"/>
              <w:jc w:val="both"/>
              <w:rPr>
                <w:rFonts w:ascii="Times New Roman" w:hAnsi="Times New Roman" w:cs="Times New Roman"/>
                <w:sz w:val="20"/>
                <w:szCs w:val="20"/>
              </w:rPr>
            </w:pPr>
            <w:r w:rsidRPr="0097670D">
              <w:rPr>
                <w:rFonts w:ascii="Times New Roman" w:eastAsia="Calibri" w:hAnsi="Times New Roman" w:cs="Times New Roman"/>
                <w:sz w:val="20"/>
                <w:szCs w:val="20"/>
              </w:rPr>
              <w:t>Managing long-term adaptive life changes, targeting activities to take the mind off of the health condition</w:t>
            </w:r>
          </w:p>
        </w:tc>
      </w:tr>
      <w:tr w:rsidR="002147D8" w:rsidRPr="0097670D" w14:paraId="273D3A0E" w14:textId="77777777">
        <w:tc>
          <w:tcPr>
            <w:tcW w:w="3261" w:type="dxa"/>
          </w:tcPr>
          <w:p w14:paraId="143EA373" w14:textId="77777777" w:rsidR="002147D8" w:rsidRPr="0097670D" w:rsidRDefault="00890C24">
            <w:pPr>
              <w:spacing w:line="480" w:lineRule="auto"/>
              <w:jc w:val="both"/>
              <w:rPr>
                <w:rFonts w:ascii="Times New Roman" w:hAnsi="Times New Roman"/>
                <w:sz w:val="20"/>
                <w:szCs w:val="20"/>
              </w:rPr>
            </w:pPr>
            <w:r w:rsidRPr="0097670D">
              <w:rPr>
                <w:rFonts w:ascii="Times New Roman" w:hAnsi="Times New Roman"/>
                <w:sz w:val="20"/>
                <w:szCs w:val="20"/>
              </w:rPr>
              <w:t>Co-learning</w:t>
            </w:r>
          </w:p>
        </w:tc>
        <w:tc>
          <w:tcPr>
            <w:tcW w:w="5244" w:type="dxa"/>
          </w:tcPr>
          <w:p w14:paraId="42112820" w14:textId="77777777" w:rsidR="002147D8" w:rsidRPr="0097670D" w:rsidRDefault="00890C24">
            <w:pPr>
              <w:pStyle w:val="Paragrafoelenco"/>
              <w:numPr>
                <w:ilvl w:val="0"/>
                <w:numId w:val="21"/>
              </w:numPr>
              <w:spacing w:line="276" w:lineRule="auto"/>
              <w:jc w:val="both"/>
              <w:rPr>
                <w:rFonts w:ascii="Times New Roman" w:hAnsi="Times New Roman" w:cs="Times New Roman"/>
                <w:sz w:val="20"/>
                <w:szCs w:val="20"/>
              </w:rPr>
            </w:pPr>
            <w:r w:rsidRPr="0097670D">
              <w:rPr>
                <w:rFonts w:ascii="Times New Roman" w:eastAsia="Calibri" w:hAnsi="Times New Roman" w:cs="Times New Roman"/>
                <w:sz w:val="20"/>
                <w:szCs w:val="20"/>
              </w:rPr>
              <w:t>Actively seeking and sharing information from several sources, such as internet, books, other professionals, or people with the same condition</w:t>
            </w:r>
          </w:p>
        </w:tc>
      </w:tr>
      <w:tr w:rsidR="002147D8" w:rsidRPr="0097670D" w14:paraId="1D0DB911" w14:textId="77777777">
        <w:tc>
          <w:tcPr>
            <w:tcW w:w="3261" w:type="dxa"/>
          </w:tcPr>
          <w:p w14:paraId="72E8EA2C" w14:textId="77777777" w:rsidR="002147D8" w:rsidRPr="0097670D" w:rsidRDefault="00890C24">
            <w:pPr>
              <w:spacing w:line="480" w:lineRule="auto"/>
              <w:jc w:val="both"/>
              <w:rPr>
                <w:rFonts w:ascii="Times New Roman" w:hAnsi="Times New Roman"/>
                <w:sz w:val="20"/>
                <w:szCs w:val="20"/>
              </w:rPr>
            </w:pPr>
            <w:r w:rsidRPr="0097670D">
              <w:rPr>
                <w:rFonts w:ascii="Times New Roman" w:hAnsi="Times New Roman"/>
                <w:sz w:val="20"/>
                <w:szCs w:val="20"/>
              </w:rPr>
              <w:t>Co-operating</w:t>
            </w:r>
          </w:p>
        </w:tc>
        <w:tc>
          <w:tcPr>
            <w:tcW w:w="5244" w:type="dxa"/>
          </w:tcPr>
          <w:p w14:paraId="6C6C97F0" w14:textId="77777777" w:rsidR="002147D8" w:rsidRPr="0097670D" w:rsidRDefault="00890C24">
            <w:pPr>
              <w:pStyle w:val="Paragrafoelenco"/>
              <w:numPr>
                <w:ilvl w:val="0"/>
                <w:numId w:val="21"/>
              </w:numPr>
              <w:spacing w:line="276" w:lineRule="auto"/>
              <w:jc w:val="both"/>
              <w:rPr>
                <w:rFonts w:ascii="Times New Roman" w:hAnsi="Times New Roman" w:cs="Times New Roman"/>
                <w:sz w:val="20"/>
                <w:szCs w:val="20"/>
              </w:rPr>
            </w:pPr>
            <w:r w:rsidRPr="0097670D">
              <w:rPr>
                <w:rFonts w:ascii="Times New Roman" w:eastAsia="Calibri" w:hAnsi="Times New Roman" w:cs="Times New Roman"/>
                <w:sz w:val="20"/>
                <w:szCs w:val="20"/>
              </w:rPr>
              <w:t xml:space="preserve">Accepting physician’s response and being in compliance </w:t>
            </w:r>
          </w:p>
        </w:tc>
      </w:tr>
      <w:tr w:rsidR="002147D8" w:rsidRPr="0097670D" w14:paraId="5FC0FCE8" w14:textId="77777777">
        <w:tc>
          <w:tcPr>
            <w:tcW w:w="3261" w:type="dxa"/>
          </w:tcPr>
          <w:p w14:paraId="328183CA" w14:textId="77777777" w:rsidR="002147D8" w:rsidRPr="0097670D" w:rsidRDefault="00890C24">
            <w:pPr>
              <w:spacing w:line="480" w:lineRule="auto"/>
              <w:jc w:val="both"/>
              <w:rPr>
                <w:rFonts w:ascii="Times New Roman" w:hAnsi="Times New Roman"/>
                <w:sz w:val="20"/>
                <w:szCs w:val="20"/>
              </w:rPr>
            </w:pPr>
            <w:r w:rsidRPr="0097670D">
              <w:rPr>
                <w:rFonts w:ascii="Times New Roman" w:hAnsi="Times New Roman"/>
                <w:sz w:val="20"/>
                <w:szCs w:val="20"/>
              </w:rPr>
              <w:t>Co-production</w:t>
            </w:r>
          </w:p>
        </w:tc>
        <w:tc>
          <w:tcPr>
            <w:tcW w:w="5244" w:type="dxa"/>
          </w:tcPr>
          <w:p w14:paraId="2DA9A238" w14:textId="77777777" w:rsidR="002147D8" w:rsidRPr="0097670D" w:rsidRDefault="00890C24">
            <w:pPr>
              <w:pStyle w:val="Paragrafoelenco"/>
              <w:numPr>
                <w:ilvl w:val="0"/>
                <w:numId w:val="21"/>
              </w:numPr>
              <w:spacing w:line="276" w:lineRule="auto"/>
              <w:jc w:val="both"/>
              <w:rPr>
                <w:rFonts w:ascii="Times New Roman" w:hAnsi="Times New Roman" w:cs="Times New Roman"/>
                <w:sz w:val="20"/>
                <w:szCs w:val="20"/>
              </w:rPr>
            </w:pPr>
            <w:r w:rsidRPr="0097670D">
              <w:rPr>
                <w:rFonts w:ascii="Times New Roman" w:eastAsia="Calibri" w:hAnsi="Times New Roman" w:cs="Times New Roman"/>
                <w:sz w:val="20"/>
                <w:szCs w:val="20"/>
              </w:rPr>
              <w:t>Assisting with the design of treatment programs, choosing healthcare provider and/or medic professionals</w:t>
            </w:r>
          </w:p>
        </w:tc>
      </w:tr>
      <w:tr w:rsidR="002147D8" w:rsidRPr="0097670D" w14:paraId="021262B7" w14:textId="77777777">
        <w:tc>
          <w:tcPr>
            <w:tcW w:w="3261" w:type="dxa"/>
          </w:tcPr>
          <w:p w14:paraId="09B343D3" w14:textId="77777777" w:rsidR="002147D8" w:rsidRPr="0097670D" w:rsidRDefault="00890C24">
            <w:pPr>
              <w:spacing w:line="480" w:lineRule="auto"/>
              <w:jc w:val="both"/>
              <w:rPr>
                <w:rFonts w:ascii="Times New Roman" w:hAnsi="Times New Roman"/>
                <w:sz w:val="20"/>
                <w:szCs w:val="20"/>
              </w:rPr>
            </w:pPr>
            <w:r w:rsidRPr="0097670D">
              <w:rPr>
                <w:rFonts w:ascii="Times New Roman" w:hAnsi="Times New Roman"/>
                <w:sz w:val="20"/>
                <w:szCs w:val="20"/>
              </w:rPr>
              <w:t>Collating information</w:t>
            </w:r>
          </w:p>
        </w:tc>
        <w:tc>
          <w:tcPr>
            <w:tcW w:w="5244" w:type="dxa"/>
          </w:tcPr>
          <w:p w14:paraId="3D3DAC93" w14:textId="77777777" w:rsidR="002147D8" w:rsidRPr="0097670D" w:rsidRDefault="00890C24">
            <w:pPr>
              <w:pStyle w:val="Paragrafoelenco"/>
              <w:numPr>
                <w:ilvl w:val="0"/>
                <w:numId w:val="21"/>
              </w:numPr>
              <w:spacing w:line="276" w:lineRule="auto"/>
              <w:jc w:val="both"/>
              <w:rPr>
                <w:rFonts w:ascii="Times New Roman" w:hAnsi="Times New Roman" w:cs="Times New Roman"/>
                <w:sz w:val="20"/>
                <w:szCs w:val="20"/>
              </w:rPr>
            </w:pPr>
            <w:r w:rsidRPr="0097670D">
              <w:rPr>
                <w:rFonts w:ascii="Times New Roman" w:eastAsia="Calibri" w:hAnsi="Times New Roman" w:cs="Times New Roman"/>
                <w:sz w:val="20"/>
                <w:szCs w:val="20"/>
              </w:rPr>
              <w:t>Sorting and assorting information</w:t>
            </w:r>
          </w:p>
        </w:tc>
      </w:tr>
      <w:tr w:rsidR="002147D8" w:rsidRPr="0097670D" w14:paraId="6C3E739D" w14:textId="77777777">
        <w:tc>
          <w:tcPr>
            <w:tcW w:w="3261" w:type="dxa"/>
          </w:tcPr>
          <w:p w14:paraId="1661BBC2" w14:textId="77777777" w:rsidR="002147D8" w:rsidRPr="0097670D" w:rsidRDefault="00890C24">
            <w:pPr>
              <w:spacing w:line="480" w:lineRule="auto"/>
              <w:jc w:val="both"/>
              <w:rPr>
                <w:rFonts w:ascii="Times New Roman" w:hAnsi="Times New Roman"/>
                <w:sz w:val="20"/>
                <w:szCs w:val="20"/>
              </w:rPr>
            </w:pPr>
            <w:r w:rsidRPr="0097670D">
              <w:rPr>
                <w:rFonts w:ascii="Times New Roman" w:hAnsi="Times New Roman"/>
                <w:sz w:val="20"/>
                <w:szCs w:val="20"/>
              </w:rPr>
              <w:t>Combining complementary therapies</w:t>
            </w:r>
          </w:p>
        </w:tc>
        <w:tc>
          <w:tcPr>
            <w:tcW w:w="5244" w:type="dxa"/>
          </w:tcPr>
          <w:p w14:paraId="3E6CBA93" w14:textId="77777777" w:rsidR="002147D8" w:rsidRPr="0097670D" w:rsidRDefault="00890C24">
            <w:pPr>
              <w:pStyle w:val="Paragrafoelenco"/>
              <w:numPr>
                <w:ilvl w:val="0"/>
                <w:numId w:val="21"/>
              </w:numPr>
              <w:spacing w:line="276" w:lineRule="auto"/>
              <w:jc w:val="both"/>
              <w:rPr>
                <w:rFonts w:ascii="Times New Roman" w:hAnsi="Times New Roman" w:cs="Times New Roman"/>
                <w:sz w:val="20"/>
                <w:szCs w:val="20"/>
              </w:rPr>
            </w:pPr>
            <w:r w:rsidRPr="0097670D">
              <w:rPr>
                <w:rFonts w:ascii="Times New Roman" w:eastAsia="Calibri" w:hAnsi="Times New Roman" w:cs="Times New Roman"/>
                <w:sz w:val="20"/>
                <w:szCs w:val="20"/>
              </w:rPr>
              <w:t>Using complementary medicine (</w:t>
            </w:r>
            <w:proofErr w:type="gramStart"/>
            <w:r w:rsidRPr="0097670D">
              <w:rPr>
                <w:rFonts w:ascii="Times New Roman" w:eastAsia="Calibri" w:hAnsi="Times New Roman" w:cs="Times New Roman"/>
                <w:sz w:val="20"/>
                <w:szCs w:val="20"/>
              </w:rPr>
              <w:t>i.e.</w:t>
            </w:r>
            <w:proofErr w:type="gramEnd"/>
            <w:r w:rsidRPr="0097670D">
              <w:rPr>
                <w:rFonts w:ascii="Times New Roman" w:eastAsia="Calibri" w:hAnsi="Times New Roman" w:cs="Times New Roman"/>
                <w:sz w:val="20"/>
                <w:szCs w:val="20"/>
              </w:rPr>
              <w:t xml:space="preserve"> Chinese medicine), yoga, diet, exercises</w:t>
            </w:r>
          </w:p>
        </w:tc>
      </w:tr>
      <w:tr w:rsidR="002147D8" w:rsidRPr="0097670D" w14:paraId="32085CB2" w14:textId="77777777">
        <w:tc>
          <w:tcPr>
            <w:tcW w:w="3261" w:type="dxa"/>
            <w:tcBorders>
              <w:bottom w:val="single" w:sz="4" w:space="0" w:color="auto"/>
            </w:tcBorders>
          </w:tcPr>
          <w:p w14:paraId="32E6428D" w14:textId="77777777" w:rsidR="002147D8" w:rsidRPr="0097670D" w:rsidRDefault="00890C24">
            <w:pPr>
              <w:spacing w:line="480" w:lineRule="auto"/>
              <w:jc w:val="both"/>
              <w:rPr>
                <w:rFonts w:ascii="Times New Roman" w:hAnsi="Times New Roman"/>
                <w:sz w:val="20"/>
                <w:szCs w:val="20"/>
              </w:rPr>
            </w:pPr>
            <w:r w:rsidRPr="0097670D">
              <w:rPr>
                <w:rFonts w:ascii="Times New Roman" w:hAnsi="Times New Roman"/>
                <w:sz w:val="20"/>
                <w:szCs w:val="20"/>
              </w:rPr>
              <w:t>Connecting</w:t>
            </w:r>
          </w:p>
        </w:tc>
        <w:tc>
          <w:tcPr>
            <w:tcW w:w="5244" w:type="dxa"/>
            <w:tcBorders>
              <w:bottom w:val="single" w:sz="4" w:space="0" w:color="auto"/>
            </w:tcBorders>
          </w:tcPr>
          <w:p w14:paraId="4693E015" w14:textId="77777777" w:rsidR="002147D8" w:rsidRPr="0097670D" w:rsidRDefault="00890C24">
            <w:pPr>
              <w:pStyle w:val="Paragrafoelenco"/>
              <w:numPr>
                <w:ilvl w:val="0"/>
                <w:numId w:val="21"/>
              </w:numPr>
              <w:spacing w:line="276" w:lineRule="auto"/>
              <w:jc w:val="both"/>
              <w:rPr>
                <w:rFonts w:ascii="Times New Roman" w:hAnsi="Times New Roman" w:cs="Times New Roman"/>
                <w:sz w:val="20"/>
                <w:szCs w:val="20"/>
              </w:rPr>
            </w:pPr>
            <w:r w:rsidRPr="0097670D">
              <w:rPr>
                <w:rFonts w:ascii="Times New Roman" w:eastAsia="Calibri" w:hAnsi="Times New Roman" w:cs="Times New Roman"/>
                <w:sz w:val="20"/>
                <w:szCs w:val="20"/>
              </w:rPr>
              <w:t>Building and maintaining relationships</w:t>
            </w:r>
          </w:p>
        </w:tc>
      </w:tr>
    </w:tbl>
    <w:p w14:paraId="6F3DCC23" w14:textId="4E82DF41" w:rsidR="002147D8" w:rsidRPr="0097670D" w:rsidRDefault="002147D8">
      <w:pPr>
        <w:spacing w:line="480" w:lineRule="auto"/>
        <w:jc w:val="both"/>
        <w:rPr>
          <w:sz w:val="22"/>
          <w:szCs w:val="22"/>
        </w:rPr>
      </w:pPr>
    </w:p>
    <w:p w14:paraId="30CD4171" w14:textId="4628E8DB" w:rsidR="002147D8" w:rsidRPr="0097670D" w:rsidRDefault="00890C24">
      <w:pPr>
        <w:spacing w:line="480" w:lineRule="auto"/>
        <w:ind w:firstLine="284"/>
        <w:jc w:val="both"/>
        <w:rPr>
          <w:sz w:val="22"/>
          <w:szCs w:val="22"/>
        </w:rPr>
      </w:pPr>
      <w:bookmarkStart w:id="4" w:name="_Hlk61254060"/>
      <w:r w:rsidRPr="0097670D">
        <w:rPr>
          <w:sz w:val="22"/>
          <w:szCs w:val="22"/>
        </w:rPr>
        <w:lastRenderedPageBreak/>
        <w:t xml:space="preserve">We grounded our research in the framework provided by </w:t>
      </w:r>
      <w:bookmarkStart w:id="5" w:name="_Hlk61254042"/>
      <w:r w:rsidRPr="0097670D">
        <w:rPr>
          <w:sz w:val="22"/>
          <w:szCs w:val="22"/>
        </w:rPr>
        <w:fldChar w:fldCharType="begin" w:fldLock="1"/>
      </w:r>
      <w:r w:rsidRPr="0097670D">
        <w:rPr>
          <w:sz w:val="22"/>
          <w:szCs w:val="22"/>
        </w:rPr>
        <w:instrText>ADDIN CSL_CITATION {"citationItems":[{"id":"ITEM-1","itemData":{"DOI":"10.1177/1094670512442806","ISSN":"10946705","abstract":"This article explores in-depth what health care customers actually do when they cocreate value. Combining previously published research with data collected from depth interviews, field observation, and focus groups, the authors identify distinct styles of health care customer value cocreation practice. Importantly, the authors show how customers can contribute to their own value creation through their own (self) activities in managing their health care. Building on past work in service-dominant (S-D) logic, consumer culture theory and social practice theory, the authors identify \"roles,\" \"activities,\" and \"interactions\" that underlie customer cocreation of value in health care. The authors uncover five groupings of customer value cocreation practices yielding a typology of practice styles and link these to quality of life. The practice styles are \"team management,\" \"insular controlling,\" \"partnering,\" \"pragmatic adapting,\" and \"passive compliance.\" Two in particular, team management and partnering, should be encouraged by managers as they tend to be associated with higher quality of life. The authors provide a health care Customer Value Cocreation Practice Styles (CVCPS) typology. The usefulness of the typology is demonstrated by showing links to quality of life and its potential application to other health care settings. © The Author(s) 2012.","author":[{"dropping-particle":"","family":"McColl-Kennedy","given":"Janet R.","non-dropping-particle":"","parse-names":false,"suffix":""},{"dropping-particle":"","family":"Vargo","given":"Stephen L.","non-dropping-particle":"","parse-names":false,"suffix":""},{"dropping-particle":"","family":"Dagger","given":"Tracey S.","non-dropping-particle":"","parse-names":false,"suffix":""},{"dropping-particle":"","family":"Sweeney","given":"Jillian C.","non-dropping-particle":"","parse-names":false,"suffix":""},{"dropping-particle":"","family":"Kasteren","given":"Yasmin","non-dropping-particle":"van","parse-names":false,"suffix":""}],"container-title":"Journal of Service Research","id":"ITEM-1","issue":"4","issued":{"date-parts":[["2012","11"]]},"page":"370-389","title":"Health Care Customer Value Cocreation Practice Styles","type":"article-journal","volume":"15"},"uris":["http://www.mendeley.com/documents/?uuid=21604ebe-bf57-3f7f-b4ef-39273b5c26ba"]}],"mendeley":{"formattedCitation":"(McColl-Kennedy et al., 2012)","manualFormatting":"McColl-Kennedy et al. (2012)","plainTextFormattedCitation":"(McColl-Kennedy et al., 2012)","previouslyFormattedCitation":"(McColl-Kennedy et al., 2012)"},"properties":{"noteIndex":0},"schema":"https://github.com/citation-style-language/schema/raw/master/csl-citation.json"}</w:instrText>
      </w:r>
      <w:r w:rsidRPr="0097670D">
        <w:rPr>
          <w:sz w:val="22"/>
          <w:szCs w:val="22"/>
        </w:rPr>
        <w:fldChar w:fldCharType="separate"/>
      </w:r>
      <w:r w:rsidRPr="0097670D">
        <w:rPr>
          <w:noProof/>
          <w:sz w:val="22"/>
          <w:szCs w:val="22"/>
        </w:rPr>
        <w:t xml:space="preserve">McColl-Kennedy </w:t>
      </w:r>
      <w:r w:rsidRPr="0097670D">
        <w:rPr>
          <w:i/>
          <w:iCs/>
          <w:noProof/>
          <w:sz w:val="22"/>
          <w:szCs w:val="22"/>
        </w:rPr>
        <w:t>et al.</w:t>
      </w:r>
      <w:r w:rsidRPr="0097670D">
        <w:rPr>
          <w:noProof/>
          <w:sz w:val="22"/>
          <w:szCs w:val="22"/>
        </w:rPr>
        <w:t xml:space="preserve"> (2012)</w:t>
      </w:r>
      <w:r w:rsidRPr="0097670D">
        <w:rPr>
          <w:sz w:val="22"/>
          <w:szCs w:val="22"/>
        </w:rPr>
        <w:fldChar w:fldCharType="end"/>
      </w:r>
      <w:bookmarkEnd w:id="5"/>
      <w:r w:rsidRPr="0097670D">
        <w:rPr>
          <w:sz w:val="22"/>
          <w:szCs w:val="22"/>
        </w:rPr>
        <w:t xml:space="preserve"> in order to identify the patient–physician relationship characteristics and clinical conditions and contexts that encourage value co-creation.</w:t>
      </w:r>
    </w:p>
    <w:p w14:paraId="2A79F366" w14:textId="77777777" w:rsidR="00016761" w:rsidRPr="0097670D" w:rsidRDefault="00016761">
      <w:pPr>
        <w:spacing w:line="480" w:lineRule="auto"/>
        <w:ind w:firstLine="284"/>
        <w:jc w:val="both"/>
        <w:rPr>
          <w:sz w:val="22"/>
          <w:szCs w:val="22"/>
        </w:rPr>
      </w:pPr>
    </w:p>
    <w:bookmarkEnd w:id="4"/>
    <w:p w14:paraId="3A03AB6E" w14:textId="4AC1262B" w:rsidR="002147D8" w:rsidRPr="0097670D" w:rsidRDefault="00890C24">
      <w:pPr>
        <w:spacing w:line="480" w:lineRule="auto"/>
        <w:jc w:val="both"/>
        <w:rPr>
          <w:i/>
          <w:sz w:val="22"/>
          <w:szCs w:val="22"/>
        </w:rPr>
      </w:pPr>
      <w:r w:rsidRPr="0097670D">
        <w:rPr>
          <w:i/>
          <w:sz w:val="22"/>
          <w:szCs w:val="22"/>
        </w:rPr>
        <w:t>Defensive Medicine</w:t>
      </w:r>
    </w:p>
    <w:p w14:paraId="39D47F24" w14:textId="38716E3D" w:rsidR="002147D8" w:rsidRPr="0097670D" w:rsidRDefault="00890C24">
      <w:pPr>
        <w:spacing w:line="480" w:lineRule="auto"/>
        <w:jc w:val="both"/>
        <w:rPr>
          <w:sz w:val="22"/>
          <w:szCs w:val="22"/>
        </w:rPr>
      </w:pPr>
      <w:bookmarkStart w:id="6" w:name="_Hlk66876889"/>
      <w:r w:rsidRPr="0097670D">
        <w:rPr>
          <w:sz w:val="22"/>
          <w:szCs w:val="22"/>
        </w:rPr>
        <w:t xml:space="preserve">As already discussed, a key element for value co-creation is the interaction between the patient and the medical doctor. This relationship, however, is strongly influenced by the personal traits of the physician and the patient, in addition to other situational conditions, and has been demonstrated to be at the crux of the phenomenon called ‘defensive medicine’ </w:t>
      </w:r>
      <w:r w:rsidRPr="0097670D">
        <w:rPr>
          <w:sz w:val="22"/>
          <w:szCs w:val="22"/>
        </w:rPr>
        <w:fldChar w:fldCharType="begin" w:fldLock="1"/>
      </w:r>
      <w:r w:rsidRPr="0097670D">
        <w:rPr>
          <w:sz w:val="22"/>
          <w:szCs w:val="22"/>
        </w:rPr>
        <w:instrText>ADDIN CSL_CITATION {"citationItems":[{"id":"ITEM-1","itemData":{"DOI":"10.2307/3349487","ISSN":"00263745","PMID":"5060142","author":[{"dropping-particle":"","family":"Hershey","given":"N.","non-dropping-particle":"","parse-names":false,"suffix":""}],"container-title":"The Milbank Memorial Fund quarterly","id":"ITEM-1","issue":"1","issued":{"date-parts":[["1972"]]},"page":"69-98","title":"The defensive practice of medicine. Myth or reality.","type":"article","volume":"50"},"uris":["http://www.mendeley.com/documents/?uuid=3a40483c-3eaf-3b5d-9ac9-641b44ad7bab"]}],"mendeley":{"formattedCitation":"(Hershey, 1972)","plainTextFormattedCitation":"(Hershey, 1972)","previouslyFormattedCitation":"(Hershey, 1972)"},"properties":{"noteIndex":0},"schema":"https://github.com/citation-style-language/schema/raw/master/csl-citation.json"}</w:instrText>
      </w:r>
      <w:r w:rsidRPr="0097670D">
        <w:rPr>
          <w:sz w:val="22"/>
          <w:szCs w:val="22"/>
        </w:rPr>
        <w:fldChar w:fldCharType="separate"/>
      </w:r>
      <w:r w:rsidRPr="0097670D">
        <w:rPr>
          <w:noProof/>
          <w:sz w:val="22"/>
          <w:szCs w:val="22"/>
        </w:rPr>
        <w:t>(Hershey, 1972)</w:t>
      </w:r>
      <w:r w:rsidRPr="0097670D">
        <w:rPr>
          <w:sz w:val="22"/>
          <w:szCs w:val="22"/>
        </w:rPr>
        <w:fldChar w:fldCharType="end"/>
      </w:r>
      <w:r w:rsidRPr="0097670D">
        <w:rPr>
          <w:sz w:val="22"/>
          <w:szCs w:val="22"/>
        </w:rPr>
        <w:t>.</w:t>
      </w:r>
    </w:p>
    <w:p w14:paraId="281E5C4D" w14:textId="083C7188" w:rsidR="002147D8" w:rsidRPr="0097670D" w:rsidRDefault="00890C24">
      <w:pPr>
        <w:spacing w:line="480" w:lineRule="auto"/>
        <w:jc w:val="both"/>
        <w:rPr>
          <w:sz w:val="22"/>
          <w:szCs w:val="22"/>
        </w:rPr>
      </w:pPr>
      <w:r w:rsidRPr="0097670D">
        <w:rPr>
          <w:sz w:val="22"/>
          <w:szCs w:val="22"/>
        </w:rPr>
        <w:t xml:space="preserve">Defensive medicine is a deviation from the usual medical practice that is induced primarily by the threat of lawsuits </w:t>
      </w:r>
      <w:r w:rsidRPr="0097670D">
        <w:rPr>
          <w:sz w:val="22"/>
          <w:szCs w:val="22"/>
        </w:rPr>
        <w:fldChar w:fldCharType="begin" w:fldLock="1"/>
      </w:r>
      <w:r w:rsidRPr="0097670D">
        <w:rPr>
          <w:sz w:val="22"/>
          <w:szCs w:val="22"/>
        </w:rPr>
        <w:instrText>ADDIN CSL_CITATION {"citationItems":[{"id":"ITEM-1","itemData":{"DOI":"10.2307/3349487","ISSN":"00263745","PMID":"5060142","author":[{"dropping-particle":"","family":"Hershey","given":"N.","non-dropping-particle":"","parse-names":false,"suffix":""}],"container-title":"The Milbank Memorial Fund quarterly","id":"ITEM-1","issue":"1","issued":{"date-parts":[["1972"]]},"page":"69-98","title":"The defensive practice of medicine. Myth or reality.","type":"article","volume":"50"},"uris":["http://www.mendeley.com/documents/?uuid=3a40483c-3eaf-3b5d-9ac9-641b44ad7bab"]}],"mendeley":{"formattedCitation":"(Hershey, 1972)","plainTextFormattedCitation":"(Hershey, 1972)","previouslyFormattedCitation":"(Hershey, 1972)"},"properties":{"noteIndex":0},"schema":"https://github.com/citation-style-language/schema/raw/master/csl-citation.json"}</w:instrText>
      </w:r>
      <w:r w:rsidRPr="0097670D">
        <w:rPr>
          <w:sz w:val="22"/>
          <w:szCs w:val="22"/>
        </w:rPr>
        <w:fldChar w:fldCharType="separate"/>
      </w:r>
      <w:r w:rsidRPr="0097670D">
        <w:rPr>
          <w:noProof/>
          <w:sz w:val="22"/>
          <w:szCs w:val="22"/>
        </w:rPr>
        <w:t>(Hershey, 1972)</w:t>
      </w:r>
      <w:r w:rsidRPr="0097670D">
        <w:rPr>
          <w:sz w:val="22"/>
          <w:szCs w:val="22"/>
        </w:rPr>
        <w:fldChar w:fldCharType="end"/>
      </w:r>
      <w:r w:rsidRPr="0097670D">
        <w:rPr>
          <w:sz w:val="22"/>
          <w:szCs w:val="22"/>
        </w:rPr>
        <w:t xml:space="preserve">. </w:t>
      </w:r>
      <w:bookmarkEnd w:id="6"/>
      <w:r w:rsidRPr="0097670D">
        <w:rPr>
          <w:sz w:val="22"/>
          <w:szCs w:val="22"/>
        </w:rPr>
        <w:t xml:space="preserve">This phenomenon was born in the 1970s in the United States due to the introduction of legislative regulations which increased the exposure of medical professionals to greater legal liabilities, and it has presently become a practice diffused worldwide. In literature, two kinds of defensive medicine have been defined: ‘assurance behaviour’ and ‘avoidance behaviour’. The former occurs when, for example, the doctor prescribes more diagnostic tests than those strictly needed for that specific case, just to avoid the risk of incurring lawsuits. The latter occurs when, in high-risk medical situations, the physician delays and/or refuses treatments that require great responsibility </w:t>
      </w:r>
      <w:r w:rsidRPr="0097670D">
        <w:rPr>
          <w:sz w:val="22"/>
          <w:szCs w:val="22"/>
        </w:rPr>
        <w:fldChar w:fldCharType="begin" w:fldLock="1"/>
      </w:r>
      <w:r w:rsidRPr="0097670D">
        <w:rPr>
          <w:sz w:val="22"/>
          <w:szCs w:val="22"/>
        </w:rPr>
        <w:instrText>ADDIN CSL_CITATION {"citationItems":[{"id":"ITEM-1","itemData":{"DOI":"10.1001/jama.293.21.2609","ISSN":"00987484","abstract":"Context How often physicians alter their clinical behavior because of the threat of malpractice liability, termed defensive medicine, and the consequences of those changes, are central questions in the ongoing medical malpractice reform debate. Objective To study the prevalence and characteristics of defensive medicine among physicians practicing in high-liability specialties during a period of substantial instability in the malpractice environment. Design, Setting, and Participants Mail survey of physicians in 6 specialties at high risk of litigation (emergency medicine, general surgery, orthopedic surgery, neurosurgery, obstetrics/gynecology, and radiology) in Pennsylvania in May 2003. Main Outcome Measures Number of physicians in each specialty reporting defensive medicine or changes in scope of practice and characteristics of defensive medicine (assurance and avoidance behavior). Results A total of 824 physicians (65%) completed the survey. Nearly all (93%) reported practicing defensive medicine. \"Assurance behavior\" such as ordering tests, performing diagnostic procedures, and referring patients for consultation, was very common (92%). Among practitioners of defensive medicine who detailed their most recent defensive act, 43% reported using imaging technology in clinically unnecessary circumstances. Avoidance of procedures and patients that were perceived to elevate the probability of litigation was also widespread. Forty-two percent of respondents reported that they had taken steps to restrict their practice in the previous 3 years, including eliminating procedures prone to complications, such as trauma surgery, and avoiding patients who had complex medical problems or were perceived as litigious. Defensive practice correlated strongly with respondents' lack of confidence in their liability insurance and perceived burden of insurance premiums. Conclusion Defensive medicine is highly prevalent among physicians in Pennsylvania who pay the most for liability insurance, with potentially serious implications for cost, access, and both technical and interpersonal quality of care.","author":[{"dropping-particle":"","family":"Studdert","given":"David M.","non-dropping-particle":"","parse-names":false,"suffix":""},{"dropping-particle":"","family":"Mello","given":"Michelle M.","non-dropping-particle":"","parse-names":false,"suffix":""},{"dropping-particle":"","family":"Sage","given":"William M.","non-dropping-particle":"","parse-names":false,"suffix":""},{"dropping-particle":"","family":"DesRoches","given":"Catherine M.","non-dropping-particle":"","parse-names":false,"suffix":""},{"dropping-particle":"","family":"Peugh","given":"Jordon","non-dropping-particle":"","parse-names":false,"suffix":""},{"dropping-particle":"","family":"Zapert","given":"Kinga","non-dropping-particle":"","parse-names":false,"suffix":""},{"dropping-particle":"","family":"Brennan","given":"Troyen A.","non-dropping-particle":"","parse-names":false,"suffix":""}],"container-title":"Journal of the American Medical Association","id":"ITEM-1","issue":"21","issued":{"date-parts":[["2005"]]},"page":"2609-2617","title":"Defensive medicine among high-risk specialist physicians in a volatile malpractice environment","type":"article-journal","volume":"293"},"uris":["http://www.mendeley.com/documents/?uuid=4c4e5e25-4a8c-3a94-a442-3a30fea3e173"]}],"mendeley":{"formattedCitation":"(Studdert et al., 2005)","plainTextFormattedCitation":"(Studdert et al., 2005)","previouslyFormattedCitation":"(Studdert et al., 2005)"},"properties":{"noteIndex":0},"schema":"https://github.com/citation-style-language/schema/raw/master/csl-citation.json"}</w:instrText>
      </w:r>
      <w:r w:rsidRPr="0097670D">
        <w:rPr>
          <w:sz w:val="22"/>
          <w:szCs w:val="22"/>
        </w:rPr>
        <w:fldChar w:fldCharType="separate"/>
      </w:r>
      <w:r w:rsidRPr="0097670D">
        <w:rPr>
          <w:noProof/>
          <w:sz w:val="22"/>
          <w:szCs w:val="22"/>
        </w:rPr>
        <w:t xml:space="preserve">(Studdert </w:t>
      </w:r>
      <w:r w:rsidRPr="0097670D">
        <w:rPr>
          <w:i/>
          <w:iCs/>
          <w:noProof/>
          <w:sz w:val="22"/>
          <w:szCs w:val="22"/>
        </w:rPr>
        <w:t>et al.</w:t>
      </w:r>
      <w:r w:rsidRPr="0097670D">
        <w:rPr>
          <w:noProof/>
          <w:sz w:val="22"/>
          <w:szCs w:val="22"/>
        </w:rPr>
        <w:t>, 2005)</w:t>
      </w:r>
      <w:r w:rsidRPr="0097670D">
        <w:rPr>
          <w:sz w:val="22"/>
          <w:szCs w:val="22"/>
        </w:rPr>
        <w:fldChar w:fldCharType="end"/>
      </w:r>
      <w:r w:rsidRPr="0097670D">
        <w:rPr>
          <w:sz w:val="22"/>
          <w:szCs w:val="22"/>
        </w:rPr>
        <w:t>.</w:t>
      </w:r>
    </w:p>
    <w:p w14:paraId="2FC7AFBE" w14:textId="4F94BEE1" w:rsidR="002147D8" w:rsidRPr="0097670D" w:rsidRDefault="00890C24">
      <w:pPr>
        <w:spacing w:line="480" w:lineRule="auto"/>
        <w:ind w:firstLine="284"/>
        <w:jc w:val="both"/>
        <w:rPr>
          <w:sz w:val="22"/>
          <w:szCs w:val="22"/>
        </w:rPr>
      </w:pPr>
      <w:r w:rsidRPr="0097670D">
        <w:rPr>
          <w:sz w:val="22"/>
          <w:szCs w:val="22"/>
        </w:rPr>
        <w:t xml:space="preserve">The likelihood of adopting a defensive behaviour is directly proportional to the specific risk related to medical liability </w:t>
      </w:r>
      <w:r w:rsidRPr="0097670D">
        <w:rPr>
          <w:sz w:val="22"/>
          <w:szCs w:val="22"/>
        </w:rPr>
        <w:fldChar w:fldCharType="begin" w:fldLock="1"/>
      </w:r>
      <w:r w:rsidRPr="0097670D">
        <w:rPr>
          <w:sz w:val="22"/>
          <w:szCs w:val="22"/>
        </w:rPr>
        <w:instrText>ADDIN CSL_CITATION {"citationItems":[{"id":"ITEM-1","itemData":{"DOI":"10.18662/lumproc.rsacvp2017.82","author":[{"dropping-particle":"","family":"Tinica","given":"G.","non-dropping-particle":"","parse-names":false,"suffix":""},{"dropping-particle":"","family":"Tomaziu-Todosia","given":"M.","non-dropping-particle":"","parse-names":false,"suffix":""},{"dropping-particle":"","family":"Tomaziu Todosia, G.-C. Christol","given":"R.O.","non-dropping-particle":"","parse-names":false,"suffix":""},{"dropping-particle":"","family":"Bulgariu-Iliescu","given":"D.","non-dropping-particle":"","parse-names":false,"suffix":""},{"dropping-particle":"","family":"Furnica","given":"C.","non-dropping-particle":"","parse-names":false,"suffix":""}],"container-title":"Rethinking Social Action. Core Values in Practice","id":"ITEM-1","issued":{"date-parts":[["2017","12","14"]]},"page":"898-910","title":"Defensive Medicine: Myths and Realities","type":"paper-conference","volume":"1"},"uris":["http://www.mendeley.com/documents/?uuid=0e14e71d-efc8-3a0c-b7ee-0de76a55459a"]}],"mendeley":{"formattedCitation":"(Tinica et al., 2017)","plainTextFormattedCitation":"(Tinica et al., 2017)","previouslyFormattedCitation":"(Tinica et al., 2017)"},"properties":{"noteIndex":0},"schema":"https://github.com/citation-style-language/schema/raw/master/csl-citation.json"}</w:instrText>
      </w:r>
      <w:r w:rsidRPr="0097670D">
        <w:rPr>
          <w:sz w:val="22"/>
          <w:szCs w:val="22"/>
        </w:rPr>
        <w:fldChar w:fldCharType="separate"/>
      </w:r>
      <w:r w:rsidRPr="0097670D">
        <w:rPr>
          <w:noProof/>
          <w:sz w:val="22"/>
          <w:szCs w:val="22"/>
        </w:rPr>
        <w:t xml:space="preserve">(Tinica </w:t>
      </w:r>
      <w:r w:rsidRPr="0097670D">
        <w:rPr>
          <w:i/>
          <w:iCs/>
          <w:noProof/>
          <w:sz w:val="22"/>
          <w:szCs w:val="22"/>
        </w:rPr>
        <w:t>et al.</w:t>
      </w:r>
      <w:r w:rsidRPr="0097670D">
        <w:rPr>
          <w:noProof/>
          <w:sz w:val="22"/>
          <w:szCs w:val="22"/>
        </w:rPr>
        <w:t>, 2017)</w:t>
      </w:r>
      <w:r w:rsidRPr="0097670D">
        <w:rPr>
          <w:sz w:val="22"/>
          <w:szCs w:val="22"/>
        </w:rPr>
        <w:fldChar w:fldCharType="end"/>
      </w:r>
      <w:r w:rsidRPr="0097670D">
        <w:rPr>
          <w:sz w:val="22"/>
          <w:szCs w:val="22"/>
        </w:rPr>
        <w:t xml:space="preserve">. Previous studies identified six medical specialities in which defensive practices occur in more than 50% of cases, even reaching 93% in some specialties. In specific, these specialties are emergency medicine, general surgery, neurosurgery, obstetrics/gynaecology, orthopaedic surgery, and radiology </w:t>
      </w:r>
      <w:r w:rsidRPr="0097670D">
        <w:rPr>
          <w:sz w:val="22"/>
          <w:szCs w:val="22"/>
        </w:rPr>
        <w:fldChar w:fldCharType="begin" w:fldLock="1"/>
      </w:r>
      <w:r w:rsidRPr="0097670D">
        <w:rPr>
          <w:sz w:val="22"/>
          <w:szCs w:val="22"/>
        </w:rPr>
        <w:instrText>ADDIN CSL_CITATION {"citationItems":[{"id":"ITEM-1","itemData":{"DOI":"10.1001/jama.293.21.2609","ISSN":"00987484","abstract":"Context How often physicians alter their clinical behavior because of the threat of malpractice liability, termed defensive medicine, and the consequences of those changes, are central questions in the ongoing medical malpractice reform debate. Objective To study the prevalence and characteristics of defensive medicine among physicians practicing in high-liability specialties during a period of substantial instability in the malpractice environment. Design, Setting, and Participants Mail survey of physicians in 6 specialties at high risk of litigation (emergency medicine, general surgery, orthopedic surgery, neurosurgery, obstetrics/gynecology, and radiology) in Pennsylvania in May 2003. Main Outcome Measures Number of physicians in each specialty reporting defensive medicine or changes in scope of practice and characteristics of defensive medicine (assurance and avoidance behavior). Results A total of 824 physicians (65%) completed the survey. Nearly all (93%) reported practicing defensive medicine. \"Assurance behavior\" such as ordering tests, performing diagnostic procedures, and referring patients for consultation, was very common (92%). Among practitioners of defensive medicine who detailed their most recent defensive act, 43% reported using imaging technology in clinically unnecessary circumstances. Avoidance of procedures and patients that were perceived to elevate the probability of litigation was also widespread. Forty-two percent of respondents reported that they had taken steps to restrict their practice in the previous 3 years, including eliminating procedures prone to complications, such as trauma surgery, and avoiding patients who had complex medical problems or were perceived as litigious. Defensive practice correlated strongly with respondents' lack of confidence in their liability insurance and perceived burden of insurance premiums. Conclusion Defensive medicine is highly prevalent among physicians in Pennsylvania who pay the most for liability insurance, with potentially serious implications for cost, access, and both technical and interpersonal quality of care.","author":[{"dropping-particle":"","family":"Studdert","given":"David M.","non-dropping-particle":"","parse-names":false,"suffix":""},{"dropping-particle":"","family":"Mello","given":"Michelle M.","non-dropping-particle":"","parse-names":false,"suffix":""},{"dropping-particle":"","family":"Sage","given":"William M.","non-dropping-particle":"","parse-names":false,"suffix":""},{"dropping-particle":"","family":"DesRoches","given":"Catherine M.","non-dropping-particle":"","parse-names":false,"suffix":""},{"dropping-particle":"","family":"Peugh","given":"Jordon","non-dropping-particle":"","parse-names":false,"suffix":""},{"dropping-particle":"","family":"Zapert","given":"Kinga","non-dropping-particle":"","parse-names":false,"suffix":""},{"dropping-particle":"","family":"Brennan","given":"Troyen A.","non-dropping-particle":"","parse-names":false,"suffix":""}],"container-title":"Journal of the American Medical Association","id":"ITEM-1","issue":"21","issued":{"date-parts":[["2005"]]},"page":"2609-2617","title":"Defensive medicine among high-risk specialist physicians in a volatile malpractice environment","type":"article-journal","volume":"293"},"uris":["http://www.mendeley.com/documents/?uuid=4c4e5e25-4a8c-3a94-a442-3a30fea3e173"]},{"id":"ITEM-2","itemData":{"DOI":"10.1515/dx-2014-0002","ISSN":"2194-8011","abstract":"Defensive medicine often involves the excessive ordering of diagnostic tests. Constantly aware of the risk of malpractice liability, physicians turn to diagnostic tests with the goal of reducing the likelihood of error. Findings reported in literature suggest that medical malpractice contributes significantly to the increased use of diagnostic testing and related costs. It has also been demonstrated that defensive testing not only increases costs but harms patients to a degree that depends on the risk incurred by the test itself, its false-positive and false-negative rates, the benefits and risks of available therapies, and the prior probability of disease. Several solutions have been proposed in the attempt to address this issue, but the physician’s competence and training appear to be key factors, data from clinical trials showing that education and feedback for improving test-ordering tendencies have a prolonged effect. Particularly in the field of laboratory medicine, increasing attention is being paid to improving demand management in order to minimize inappropriate testing.","author":[{"dropping-particle":"","family":"Plebani","given":"Mario","non-dropping-particle":"","parse-names":false,"suffix":""}],"container-title":"Diagnosis","id":"ITEM-2","issue":"2","issued":{"date-parts":[["2014","4","14"]]},"page":"151-154","publisher":"Walter de Gruyter GmbH","title":"Defensive medicine and diagnostic testing","type":"article-journal","volume":"1"},"uris":["http://www.mendeley.com/documents/?uuid=79970aba-6bad-31b0-b956-a87f6c4a588c"]}],"mendeley":{"formattedCitation":"(Plebani, 2014; Studdert et al., 2005)","plainTextFormattedCitation":"(Plebani, 2014; Studdert et al., 2005)","previouslyFormattedCitation":"(Plebani, 2014; Studdert et al., 2005)"},"properties":{"noteIndex":0},"schema":"https://github.com/citation-style-language/schema/raw/master/csl-citation.json"}</w:instrText>
      </w:r>
      <w:r w:rsidRPr="0097670D">
        <w:rPr>
          <w:sz w:val="22"/>
          <w:szCs w:val="22"/>
        </w:rPr>
        <w:fldChar w:fldCharType="separate"/>
      </w:r>
      <w:r w:rsidRPr="0097670D">
        <w:rPr>
          <w:noProof/>
          <w:sz w:val="22"/>
          <w:szCs w:val="22"/>
        </w:rPr>
        <w:t xml:space="preserve">(Plebani, 2014; Studdert </w:t>
      </w:r>
      <w:r w:rsidRPr="0097670D">
        <w:rPr>
          <w:i/>
          <w:iCs/>
          <w:noProof/>
          <w:sz w:val="22"/>
          <w:szCs w:val="22"/>
        </w:rPr>
        <w:t>et al.</w:t>
      </w:r>
      <w:r w:rsidRPr="0097670D">
        <w:rPr>
          <w:noProof/>
          <w:sz w:val="22"/>
          <w:szCs w:val="22"/>
        </w:rPr>
        <w:t>, 2005)</w:t>
      </w:r>
      <w:r w:rsidRPr="0097670D">
        <w:rPr>
          <w:sz w:val="22"/>
          <w:szCs w:val="22"/>
        </w:rPr>
        <w:fldChar w:fldCharType="end"/>
      </w:r>
      <w:r w:rsidRPr="0097670D">
        <w:rPr>
          <w:sz w:val="22"/>
          <w:szCs w:val="22"/>
        </w:rPr>
        <w:t>.</w:t>
      </w:r>
    </w:p>
    <w:p w14:paraId="1AADE797" w14:textId="4B41E72E" w:rsidR="002147D8" w:rsidRPr="0097670D" w:rsidRDefault="00890C24">
      <w:pPr>
        <w:spacing w:line="480" w:lineRule="auto"/>
        <w:ind w:firstLine="284"/>
        <w:jc w:val="both"/>
        <w:rPr>
          <w:sz w:val="22"/>
          <w:szCs w:val="22"/>
        </w:rPr>
      </w:pPr>
      <w:r w:rsidRPr="0097670D">
        <w:rPr>
          <w:sz w:val="22"/>
          <w:szCs w:val="22"/>
        </w:rPr>
        <w:t xml:space="preserve">Defensive medicine is the cause of unnecessary tests, hospitalizations, and drug prescriptions and the avoidance of high-risk patients </w:t>
      </w:r>
      <w:r w:rsidRPr="0097670D">
        <w:rPr>
          <w:sz w:val="22"/>
          <w:szCs w:val="22"/>
        </w:rPr>
        <w:fldChar w:fldCharType="begin" w:fldLock="1"/>
      </w:r>
      <w:r w:rsidRPr="0097670D">
        <w:rPr>
          <w:sz w:val="22"/>
          <w:szCs w:val="22"/>
        </w:rPr>
        <w:instrText>ADDIN CSL_CITATION {"citationItems":[{"id":"ITEM-1","itemData":{"DOI":"10.12998/wjcc.v6.i11.447","ISSN":"2307-8960","abstract":"I WJCC|www.wjgnet.com July 16, 2017|Volume 5|Issue 7| MINIREVIEWS 258 New Zippi M, Hong W, Crispino P, Traversa G 264 Screening - old Pavlovic M, Berenji K, Bukurov M 270 Practical Nayak R ORIGINAL ARTICLE Retrospective Study 280 Feasibility Yamamiya A, Kitamura K, Ishii Y, Mitsui Y, Nomoto T, Yoshida H SYSTEMATIC REVIEWS 286 Diagnostic Kanzara T, Virk JS CASE REPORT 292 Post : Literature Pescatori L, Tropeano MP, Mancarella C, Prizio E, Santoro G, Domenicucci M 299 Rare Luongo M 303 Is ?","author":[{"dropping-particle":"","family":"Vento","given":"Sandro","non-dropping-particle":"","parse-names":false,"suffix":""},{"dropping-particle":"","family":"Cainelli","given":"Francesca","non-dropping-particle":"","parse-names":false,"suffix":""},{"dropping-particle":"","family":"Vallone","given":"Alfredo","non-dropping-particle":"","parse-names":false,"suffix":""}],"container-title":"World Journal of Clinical Cases","id":"ITEM-1","issue":"9","issued":{"date-parts":[["2018"]]},"page":"157-164","title":"Defensive medicine: It is time to finally slow down an epidemic","type":"article-journal","volume":"9"},"uris":["http://www.mendeley.com/documents/?uuid=6ddf2100-cc41-34aa-ace5-1fefbae79ea6"]}],"mendeley":{"formattedCitation":"(Vento et al., 2018)","plainTextFormattedCitation":"(Vento et al., 2018)","previouslyFormattedCitation":"(Vento et al., 2018)"},"properties":{"noteIndex":0},"schema":"https://github.com/citation-style-language/schema/raw/master/csl-citation.json"}</w:instrText>
      </w:r>
      <w:r w:rsidRPr="0097670D">
        <w:rPr>
          <w:sz w:val="22"/>
          <w:szCs w:val="22"/>
        </w:rPr>
        <w:fldChar w:fldCharType="separate"/>
      </w:r>
      <w:r w:rsidRPr="0097670D">
        <w:rPr>
          <w:noProof/>
          <w:sz w:val="22"/>
          <w:szCs w:val="22"/>
        </w:rPr>
        <w:t xml:space="preserve">(Vento </w:t>
      </w:r>
      <w:r w:rsidRPr="0097670D">
        <w:rPr>
          <w:i/>
          <w:iCs/>
          <w:noProof/>
          <w:sz w:val="22"/>
          <w:szCs w:val="22"/>
        </w:rPr>
        <w:t>et al.</w:t>
      </w:r>
      <w:r w:rsidRPr="0097670D">
        <w:rPr>
          <w:noProof/>
          <w:sz w:val="22"/>
          <w:szCs w:val="22"/>
        </w:rPr>
        <w:t>, 2018)</w:t>
      </w:r>
      <w:r w:rsidRPr="0097670D">
        <w:rPr>
          <w:sz w:val="22"/>
          <w:szCs w:val="22"/>
        </w:rPr>
        <w:fldChar w:fldCharType="end"/>
      </w:r>
      <w:r w:rsidRPr="0097670D">
        <w:rPr>
          <w:sz w:val="22"/>
          <w:szCs w:val="22"/>
        </w:rPr>
        <w:t xml:space="preserve">. This can lead to not only a negative impact on the operations of healthcare providers but also negative effects, both directly and indirectly, on the patients. For example, a patient in critical condition could be penalized by a congested healthcare system due to long waiting times for either a medical visit or a diagnostic </w:t>
      </w:r>
      <w:r w:rsidRPr="0097670D">
        <w:rPr>
          <w:sz w:val="22"/>
          <w:szCs w:val="22"/>
        </w:rPr>
        <w:lastRenderedPageBreak/>
        <w:t xml:space="preserve">test. Moreover, the abuse of diagnostic tests can also lead to an increase in the rate of false-positive and false-negative results </w:t>
      </w:r>
      <w:r w:rsidRPr="0097670D">
        <w:rPr>
          <w:sz w:val="22"/>
          <w:szCs w:val="22"/>
        </w:rPr>
        <w:fldChar w:fldCharType="begin" w:fldLock="1"/>
      </w:r>
      <w:r w:rsidRPr="0097670D">
        <w:rPr>
          <w:sz w:val="22"/>
          <w:szCs w:val="22"/>
        </w:rPr>
        <w:instrText>ADDIN CSL_CITATION {"citationItems":[{"id":"ITEM-1","itemData":{"DOI":"10.1515/dx-2014-0002","ISSN":"2194-8011","abstract":"Defensive medicine often involves the excessive ordering of diagnostic tests. Constantly aware of the risk of malpractice liability, physicians turn to diagnostic tests with the goal of reducing the likelihood of error. Findings reported in literature suggest that medical malpractice contributes significantly to the increased use of diagnostic testing and related costs. It has also been demonstrated that defensive testing not only increases costs but harms patients to a degree that depends on the risk incurred by the test itself, its false-positive and false-negative rates, the benefits and risks of available therapies, and the prior probability of disease. Several solutions have been proposed in the attempt to address this issue, but the physician’s competence and training appear to be key factors, data from clinical trials showing that education and feedback for improving test-ordering tendencies have a prolonged effect. Particularly in the field of laboratory medicine, increasing attention is being paid to improving demand management in order to minimize inappropriate testing.","author":[{"dropping-particle":"","family":"Plebani","given":"Mario","non-dropping-particle":"","parse-names":false,"suffix":""}],"container-title":"Diagnosis","id":"ITEM-1","issue":"2","issued":{"date-parts":[["2014","4","14"]]},"page":"151-154","publisher":"Walter de Gruyter GmbH","title":"Defensive medicine and diagnostic testing","type":"article-journal","volume":"1"},"uris":["http://www.mendeley.com/documents/?uuid=79970aba-6bad-31b0-b956-a87f6c4a588c"]}],"mendeley":{"formattedCitation":"(Plebani, 2014)","plainTextFormattedCitation":"(Plebani, 2014)","previouslyFormattedCitation":"(Plebani, 2014)"},"properties":{"noteIndex":0},"schema":"https://github.com/citation-style-language/schema/raw/master/csl-citation.json"}</w:instrText>
      </w:r>
      <w:r w:rsidRPr="0097670D">
        <w:rPr>
          <w:sz w:val="22"/>
          <w:szCs w:val="22"/>
        </w:rPr>
        <w:fldChar w:fldCharType="separate"/>
      </w:r>
      <w:r w:rsidRPr="0097670D">
        <w:rPr>
          <w:noProof/>
          <w:sz w:val="22"/>
          <w:szCs w:val="22"/>
        </w:rPr>
        <w:t>(Plebani, 2014)</w:t>
      </w:r>
      <w:r w:rsidRPr="0097670D">
        <w:rPr>
          <w:sz w:val="22"/>
          <w:szCs w:val="22"/>
        </w:rPr>
        <w:fldChar w:fldCharType="end"/>
      </w:r>
      <w:r w:rsidRPr="0097670D">
        <w:rPr>
          <w:sz w:val="22"/>
          <w:szCs w:val="22"/>
        </w:rPr>
        <w:t>.</w:t>
      </w:r>
    </w:p>
    <w:p w14:paraId="1C9A3DFC" w14:textId="193D99B1" w:rsidR="002147D8" w:rsidRPr="0097670D" w:rsidRDefault="00890C24">
      <w:pPr>
        <w:spacing w:line="480" w:lineRule="auto"/>
        <w:ind w:firstLine="284"/>
        <w:jc w:val="both"/>
        <w:rPr>
          <w:sz w:val="22"/>
          <w:szCs w:val="22"/>
          <w:lang w:val="en-US"/>
        </w:rPr>
      </w:pPr>
      <w:r w:rsidRPr="00285A4F">
        <w:rPr>
          <w:sz w:val="22"/>
          <w:szCs w:val="22"/>
        </w:rPr>
        <w:t xml:space="preserve">Some antecedents of defensive behaviours have been identified in the literature, such as </w:t>
      </w:r>
      <w:r w:rsidR="00DD223D" w:rsidRPr="00285A4F">
        <w:rPr>
          <w:sz w:val="22"/>
          <w:szCs w:val="22"/>
        </w:rPr>
        <w:t>patients distrusting physicians who do not pay them enough attention</w:t>
      </w:r>
      <w:r w:rsidRPr="00285A4F">
        <w:rPr>
          <w:sz w:val="22"/>
          <w:szCs w:val="22"/>
        </w:rPr>
        <w:t>, family doctors who have been playing a progressively less central role, and the replacement of clinical reasoning with guidelines and algorithms.</w:t>
      </w:r>
      <w:r w:rsidRPr="0097670D">
        <w:rPr>
          <w:sz w:val="22"/>
          <w:szCs w:val="22"/>
        </w:rPr>
        <w:t xml:space="preserve"> Healthcare providers should not just focus on examining patients, ordering tests, and prescribing drugs but should also understand how important it is to spend time with patients, express a sincere interest in their health condition, and address their concerns. Otherwise, defensive medicine will be the logical consequence of a ‘poor’ patient–physician relationship </w:t>
      </w:r>
      <w:r w:rsidRPr="0097670D">
        <w:rPr>
          <w:sz w:val="22"/>
          <w:szCs w:val="22"/>
        </w:rPr>
        <w:fldChar w:fldCharType="begin" w:fldLock="1"/>
      </w:r>
      <w:r w:rsidRPr="0097670D">
        <w:rPr>
          <w:sz w:val="22"/>
          <w:szCs w:val="22"/>
        </w:rPr>
        <w:instrText>ADDIN CSL_CITATION {"citationItems":[{"id":"ITEM-1","itemData":{"DOI":"10.12998/wjcc.v6.i11.447","ISSN":"2307-8960","abstract":"I WJCC|www.wjgnet.com July 16, 2017|Volume 5|Issue 7| MINIREVIEWS 258 New Zippi M, Hong W, Crispino P, Traversa G 264 Screening - old Pavlovic M, Berenji K, Bukurov M 270 Practical Nayak R ORIGINAL ARTICLE Retrospective Study 280 Feasibility Yamamiya A, Kitamura K, Ishii Y, Mitsui Y, Nomoto T, Yoshida H SYSTEMATIC REVIEWS 286 Diagnostic Kanzara T, Virk JS CASE REPORT 292 Post : Literature Pescatori L, Tropeano MP, Mancarella C, Prizio E, Santoro G, Domenicucci M 299 Rare Luongo M 303 Is ?","author":[{"dropping-particle":"","family":"Vento","given":"Sandro","non-dropping-particle":"","parse-names":false,"suffix":""},{"dropping-particle":"","family":"Cainelli","given":"Francesca","non-dropping-particle":"","parse-names":false,"suffix":""},{"dropping-particle":"","family":"Vallone","given":"Alfredo","non-dropping-particle":"","parse-names":false,"suffix":""}],"container-title":"World Journal of Clinical Cases","id":"ITEM-1","issue":"9","issued":{"date-parts":[["2018"]]},"page":"157-164","title":"Defensive medicine: It is time to finally slow down an epidemic","type":"article-journal","volume":"9"},"uris":["http://www.mendeley.com/documents/?uuid=6ddf2100-cc41-34aa-ace5-1fefbae79ea6"]},{"id":"ITEM-2","itemData":{"DOI":"10.1136/bmjopen-2019-034300","ISSN":"20446055","PMID":"32114473","abstract":"Introduction The term defensive medicine, referring to actions motivated primarily by litigious concerns, originates from the USA and has been used in medical research literature since the late 1960s. Differences in medical legal systems between the US and most European countries with no tort legislation raise the question whether the US definition of defensive medicine holds true in Europe. Aim To present the protocol of a systematic review investigating variations in definitions and understandings of the term € defensive medicine' in European research articles. Methods and analysis In concordance with the Preferred Reporting Items for Systematic Reviews and Meta-Analyses guidelines, a systematic review of all medical research literature that investigate defensive medicine will be performed by two independent reviewers. The databases PubMed, Embase and Cochrane will be systematically searched on the basis of predetermined criteria. Data from all included European studies will systematically be extracted including the studies' definitions and understandings of defensive medicine, especially the motives for doing medical actions that the study regards as € defensive'. Ethics and dissemination No ethics clearance is required as no primary data will be collected. The results of the systematic review will be published in a peer-reviewed, international journal. PROSPERO registration number This review has been submitted to International Prospective Register of Systematic Reviews (PROSPERO) and is awaiting registration.","author":[{"dropping-particle":"","family":"Baungaard","given":"Nathalie","non-dropping-particle":"","parse-names":false,"suffix":""},{"dropping-particle":"","family":"Skovvang","given":"Pia","non-dropping-particle":"","parse-names":false,"suffix":""},{"dropping-particle":"","family":"Assing Hvidt","given":"Elisabeth","non-dropping-particle":"","parse-names":false,"suffix":""},{"dropping-particle":"","family":"Gerbild","given":"Helle","non-dropping-particle":"","parse-names":false,"suffix":""},{"dropping-particle":"","family":"Kirstine Andersen","given":"Merethe","non-dropping-particle":"","parse-names":false,"suffix":""},{"dropping-particle":"","family":"Lykkegaard","given":"Jesper","non-dropping-particle":"","parse-names":false,"suffix":""}],"container-title":"BMJ Open","id":"ITEM-2","issue":"2","issued":{"date-parts":[["2020"]]},"page":"1-4","title":"How defensive medicine is defined and understood in European medical literature: Protocol for a systematic review","type":"article-journal","volume":"10"},"uris":["http://www.mendeley.com/documents/?uuid=79fb0451-b243-4cb2-bc35-ea28fa294e33"]},{"id":"ITEM-3","itemData":{"DOI":"10.1016/j.socscimed.2014.10.055","ISSN":"18735347","PMID":"25462606","abstract":"Defensive medicine describes physicians' behavioral response to threats from medical malpractice litigation. Previous studies have found widespread practice of defensive medicine that is responsible for the global escalation of health care costs. Defying the traditional explanations, this study, with a case of a Chinese city, reveals that in a country where medical malpractice lawsuits are rare, physicians' self-perceived threats from patients may constitute a major reason for defensive practices. Defensive behaviors in the Chinese context mainly take the form of overprescribing diagnostic tests, procedures and drugs. The existing literature tends to explain this in terms of Chinese doctors' desire to supplement their low incomes. Behind this is a series of misaligned incentives deeply embedded in the Chinese health system. Using a cross-sectional survey of physicians, this study shows that overprescription in Chinese hospitals is driven not only by hard economic incentives, but also by doctors' motive of avoiding disputes with patients. The survey was carried out in Shenzhen City, in December 2013. A sample containing 504 licensed physicians was drawn by random sampling. Descriptive analyses identified significant dissatisfaction with income and workload as well as severe tensions between doctors and patients. Drawing from the literature on defensive medicine, multivariate analysis revealed that physicians' previous experience of medical disputes is significantly associated with defensive behaviors, particularly overprescription. Low income continued to be a critical predictor, reinforcing the target income hypothesis and suggesting the resilience of perverse economic incentives. This study sheds fresh light on China's recent health policy reforms by highlighting the critical impact of the doctor-patient relationship. The effort to contain health care costs must progress on two fronts, mitigating the tensions between doctors and patients while still reforming the remuneration scheme cautiously to enable physicians to respond to right incentives.","author":[{"dropping-particle":"","family":"He","given":"Alex Jingwei","non-dropping-particle":"","parse-names":false,"suffix":""}],"container-title":"Social Science and Medicine","id":"ITEM-3","issued":{"date-parts":[["2014"]]},"page":"64-71","publisher":"Elsevier Ltd","title":"The doctor-patient relationship, defensive medicine and overprescription in Chinese public hospitals: Evidence from a cross-sectional survey in Shenzhen city","type":"article-journal","volume":"123"},"uris":["http://www.mendeley.com/documents/?uuid=289e52f0-49d8-4239-b0e3-e88b2fdb498a"]}],"mendeley":{"formattedCitation":"(Baungaard et al., 2020; He, 2014; Vento et al., 2018)","plainTextFormattedCitation":"(Baungaard et al., 2020; He, 2014; Vento et al., 2018)","previouslyFormattedCitation":"(Baungaard et al., 2020; He, 2014; Vento et al., 2018)"},"properties":{"noteIndex":0},"schema":"https://github.com/citation-style-language/schema/raw/master/csl-citation.json"}</w:instrText>
      </w:r>
      <w:r w:rsidRPr="0097670D">
        <w:rPr>
          <w:sz w:val="22"/>
          <w:szCs w:val="22"/>
        </w:rPr>
        <w:fldChar w:fldCharType="separate"/>
      </w:r>
      <w:r w:rsidRPr="0097670D">
        <w:rPr>
          <w:noProof/>
          <w:sz w:val="22"/>
          <w:szCs w:val="22"/>
        </w:rPr>
        <w:t xml:space="preserve">(Baungaard </w:t>
      </w:r>
      <w:r w:rsidRPr="0097670D">
        <w:rPr>
          <w:i/>
          <w:iCs/>
          <w:noProof/>
          <w:sz w:val="22"/>
          <w:szCs w:val="22"/>
        </w:rPr>
        <w:t>et al.</w:t>
      </w:r>
      <w:r w:rsidRPr="0097670D">
        <w:rPr>
          <w:noProof/>
          <w:sz w:val="22"/>
          <w:szCs w:val="22"/>
        </w:rPr>
        <w:t xml:space="preserve">, 2020; He, 2014; Vento </w:t>
      </w:r>
      <w:r w:rsidRPr="0097670D">
        <w:rPr>
          <w:i/>
          <w:iCs/>
          <w:noProof/>
          <w:sz w:val="22"/>
          <w:szCs w:val="22"/>
        </w:rPr>
        <w:t>et al.</w:t>
      </w:r>
      <w:r w:rsidRPr="0097670D">
        <w:rPr>
          <w:noProof/>
          <w:sz w:val="22"/>
          <w:szCs w:val="22"/>
        </w:rPr>
        <w:t>, 2018)</w:t>
      </w:r>
      <w:r w:rsidRPr="0097670D">
        <w:rPr>
          <w:sz w:val="22"/>
          <w:szCs w:val="22"/>
        </w:rPr>
        <w:fldChar w:fldCharType="end"/>
      </w:r>
      <w:r w:rsidRPr="0097670D">
        <w:rPr>
          <w:sz w:val="22"/>
          <w:szCs w:val="22"/>
        </w:rPr>
        <w:t xml:space="preserve">. Patients have become increasingly demanding in their requests for care and may even pressure physicians to provide specific forms of care. This perceived pressure is associated with an increased likelihood of examining patients and over-prescribing drugs </w:t>
      </w:r>
      <w:r w:rsidRPr="0097670D">
        <w:rPr>
          <w:sz w:val="22"/>
          <w:szCs w:val="22"/>
        </w:rPr>
        <w:fldChar w:fldCharType="begin" w:fldLock="1"/>
      </w:r>
      <w:r w:rsidRPr="0097670D">
        <w:rPr>
          <w:sz w:val="22"/>
          <w:szCs w:val="22"/>
        </w:rPr>
        <w:instrText>ADDIN CSL_CITATION {"citationItems":[{"id":"ITEM-1","itemData":{"DOI":"10.1136/bmjopen-2018-025108","ISSN":"20446055","abstract":"Objectives This study investigated whether the attitudes of physicians towards justified and unjustified litigation, and their perception of patient pressure in demanding care, influence their use of defensive medical behaviours. Design Cross-sectional survey using exploratory factor analysis was conducted to determine litigation attitude and perceived patient pressure factors. Regression analyses were used to regress these factors on to the ordering of extra tests or procedures (defensive assurance behaviour) or the avoidance of high-risk patients or procedures (defensive avoidance behaviour). Setting Data were collected from eight Dutch hospitals. Participants Respondents were 160 physicians and 54 residents (response rate 25%) of the hospital departments of (1) anaesthesiology, (2) colon, stomach and liver diseases, (3) gynaecology, (4) internal medicine, (5) neurology and (6) surgery. Primary outcome measures Respondents' application of defensive assurance and avoidance behaviours. Results € Disapproval of justified litigation' and € Concerns about unjustified litigation' were positively related to both assurance (β=0.21, p&lt;0.01, and β=0.28, p&lt;0.001, respectively) and avoidance (β=0.16, p&lt;0.05, and β=0.18, p&lt;0.05, respectively) behaviours. € Self-blame for justified litigation' was not significantly related to both defensive behaviours. Perceived patient pressures to refer (β=0.18, p&lt;0.05) and to prescribe medicine (β=0.23, p&lt;0.01) had direct positive relationships with assurance behaviour, whereas perceived patient pressure to prescribe medicine was also positively related to avoidance behaviour (β=0.14, p&lt;0.05). No difference was found between physicians and residents in their defensive medical behaviour. Conclusions Physicians adopted more defensive medical behaviours if they had stronger thoughts and emotions towards (un)justified litigation. Further, physicians should be aware that perceived patient pressure for care can lead to them adopting defensive behaviours that negatively affects the quality and safety of patient care.","author":[{"dropping-particle":"","family":"Renkema","given":"Erik","non-dropping-particle":"","parse-names":false,"suffix":""},{"dropping-particle":"","family":"Ahaus","given":"Kees","non-dropping-particle":"","parse-names":false,"suffix":""},{"dropping-particle":"","family":"Broekhuis","given":"Manda","non-dropping-particle":"","parse-names":false,"suffix":""},{"dropping-particle":"","family":"Tims","given":"Maria","non-dropping-particle":"","parse-names":false,"suffix":""}],"container-title":"BMJ Open","id":"ITEM-1","issue":"6","issued":{"date-parts":[["2019"]]},"page":"1-11","title":"Triggers of defensive medical behaviours: A cross-sectional study among physicians in the Netherlands","type":"article-journal","volume":"9"},"uris":["http://www.mendeley.com/documents/?uuid=1e6128e3-f6ea-4367-8319-285ae1b0c6bc"]}],"mendeley":{"formattedCitation":"(Renkema et al., 2019)","plainTextFormattedCitation":"(Renkema et al., 2019)","previouslyFormattedCitation":"(Renkema et al., 2019)"},"properties":{"noteIndex":0},"schema":"https://github.com/citation-style-language/schema/raw/master/csl-citation.json"}</w:instrText>
      </w:r>
      <w:r w:rsidRPr="0097670D">
        <w:rPr>
          <w:sz w:val="22"/>
          <w:szCs w:val="22"/>
        </w:rPr>
        <w:fldChar w:fldCharType="separate"/>
      </w:r>
      <w:r w:rsidRPr="0097670D">
        <w:rPr>
          <w:noProof/>
          <w:sz w:val="22"/>
          <w:szCs w:val="22"/>
        </w:rPr>
        <w:t xml:space="preserve">(Renkema </w:t>
      </w:r>
      <w:r w:rsidRPr="0097670D">
        <w:rPr>
          <w:i/>
          <w:iCs/>
          <w:noProof/>
          <w:sz w:val="22"/>
          <w:szCs w:val="22"/>
        </w:rPr>
        <w:t>et al.</w:t>
      </w:r>
      <w:r w:rsidRPr="0097670D">
        <w:rPr>
          <w:noProof/>
          <w:sz w:val="22"/>
          <w:szCs w:val="22"/>
        </w:rPr>
        <w:t>, 2019)</w:t>
      </w:r>
      <w:r w:rsidRPr="0097670D">
        <w:rPr>
          <w:sz w:val="22"/>
          <w:szCs w:val="22"/>
        </w:rPr>
        <w:fldChar w:fldCharType="end"/>
      </w:r>
      <w:r w:rsidRPr="0097670D">
        <w:rPr>
          <w:sz w:val="22"/>
          <w:szCs w:val="22"/>
        </w:rPr>
        <w:t xml:space="preserve">. Hence, the patient–physician relationship represents a critical aspect of defensive medicine. Moreover, with the diffusion and use of many smart devices connected to the internet, patients are more likely to search for information about their health status on the web rather than directly asking the doctor </w:t>
      </w:r>
      <w:r w:rsidRPr="0097670D">
        <w:rPr>
          <w:sz w:val="22"/>
          <w:szCs w:val="22"/>
        </w:rPr>
        <w:fldChar w:fldCharType="begin" w:fldLock="1"/>
      </w:r>
      <w:r w:rsidRPr="0097670D">
        <w:rPr>
          <w:sz w:val="22"/>
          <w:szCs w:val="22"/>
        </w:rPr>
        <w:instrText>ADDIN CSL_CITATION {"citationItems":[{"id":"ITEM-1","itemData":{"DOI":"10.18662/lumproc.rsacvp2017.82","author":[{"dropping-particle":"","family":"Tinica","given":"G.","non-dropping-particle":"","parse-names":false,"suffix":""},{"dropping-particle":"","family":"Tomaziu-Todosia","given":"M.","non-dropping-particle":"","parse-names":false,"suffix":""},{"dropping-particle":"","family":"Tomaziu Todosia, G.-C. Christol","given":"R.O.","non-dropping-particle":"","parse-names":false,"suffix":""},{"dropping-particle":"","family":"Bulgariu-Iliescu","given":"D.","non-dropping-particle":"","parse-names":false,"suffix":""},{"dropping-particle":"","family":"Furnica","given":"C.","non-dropping-particle":"","parse-names":false,"suffix":""}],"container-title":"Rethinking Social Action. Core Values in Practice","id":"ITEM-1","issued":{"date-parts":[["2017","12","14"]]},"page":"898-910","title":"Defensive Medicine: Myths and Realities","type":"paper-conference","volume":"1"},"uris":["http://www.mendeley.com/documents/?uuid=0e14e71d-efc8-3a0c-b7ee-0de76a55459a"]},{"id":"ITEM-2","itemData":{"DOI":"10.12998/wjcc.v6.i11.447","ISSN":"2307-8960","abstract":"I WJCC|www.wjgnet.com July 16, 2017|Volume 5|Issue 7| MINIREVIEWS 258 New Zippi M, Hong W, Crispino P, Traversa G 264 Screening - old Pavlovic M, Berenji K, Bukurov M 270 Practical Nayak R ORIGINAL ARTICLE Retrospective Study 280 Feasibility Yamamiya A, Kitamura K, Ishii Y, Mitsui Y, Nomoto T, Yoshida H SYSTEMATIC REVIEWS 286 Diagnostic Kanzara T, Virk JS CASE REPORT 292 Post : Literature Pescatori L, Tropeano MP, Mancarella C, Prizio E, Santoro G, Domenicucci M 299 Rare Luongo M 303 Is ?","author":[{"dropping-particle":"","family":"Vento","given":"Sandro","non-dropping-particle":"","parse-names":false,"suffix":""},{"dropping-particle":"","family":"Cainelli","given":"Francesca","non-dropping-particle":"","parse-names":false,"suffix":""},{"dropping-particle":"","family":"Vallone","given":"Alfredo","non-dropping-particle":"","parse-names":false,"suffix":""}],"container-title":"World Journal of Clinical Cases","id":"ITEM-2","issue":"9","issued":{"date-parts":[["2018"]]},"page":"157-164","title":"Defensive medicine: It is time to finally slow down an epidemic","type":"article-journal","volume":"9"},"uris":["http://www.mendeley.com/documents/?uuid=6ddf2100-cc41-34aa-ace5-1fefbae79ea6"]}],"mendeley":{"formattedCitation":"(Tinica et al., 2017; Vento et al., 2018)","plainTextFormattedCitation":"(Tinica et al., 2017; Vento et al., 2018)","previouslyFormattedCitation":"(Tinica et al., 2017; Vento et al., 2018)"},"properties":{"noteIndex":0},"schema":"https://github.com/citation-style-language/schema/raw/master/csl-citation.json"}</w:instrText>
      </w:r>
      <w:r w:rsidRPr="0097670D">
        <w:rPr>
          <w:sz w:val="22"/>
          <w:szCs w:val="22"/>
        </w:rPr>
        <w:fldChar w:fldCharType="separate"/>
      </w:r>
      <w:r w:rsidRPr="0097670D">
        <w:rPr>
          <w:noProof/>
          <w:sz w:val="22"/>
          <w:szCs w:val="22"/>
        </w:rPr>
        <w:t xml:space="preserve">(Tinica </w:t>
      </w:r>
      <w:r w:rsidRPr="0097670D">
        <w:rPr>
          <w:i/>
          <w:iCs/>
          <w:noProof/>
          <w:sz w:val="22"/>
          <w:szCs w:val="22"/>
        </w:rPr>
        <w:t>et al.</w:t>
      </w:r>
      <w:r w:rsidRPr="0097670D">
        <w:rPr>
          <w:noProof/>
          <w:sz w:val="22"/>
          <w:szCs w:val="22"/>
        </w:rPr>
        <w:t xml:space="preserve">, 2017; Vento </w:t>
      </w:r>
      <w:r w:rsidRPr="0097670D">
        <w:rPr>
          <w:i/>
          <w:iCs/>
          <w:noProof/>
          <w:sz w:val="22"/>
          <w:szCs w:val="22"/>
        </w:rPr>
        <w:t>et al.</w:t>
      </w:r>
      <w:r w:rsidRPr="0097670D">
        <w:rPr>
          <w:noProof/>
          <w:sz w:val="22"/>
          <w:szCs w:val="22"/>
        </w:rPr>
        <w:t>, 2018)</w:t>
      </w:r>
      <w:r w:rsidRPr="0097670D">
        <w:rPr>
          <w:sz w:val="22"/>
          <w:szCs w:val="22"/>
        </w:rPr>
        <w:fldChar w:fldCharType="end"/>
      </w:r>
      <w:r w:rsidRPr="0097670D">
        <w:rPr>
          <w:sz w:val="22"/>
          <w:szCs w:val="22"/>
        </w:rPr>
        <w:t xml:space="preserve">. The problem is that the information that is collected by the patients is unreliable most of the time and, in addition to this, patients are not able to contextualize this information with their own clinical status. For this reason, there are conflicts between what the doctor suggests and what an ‘informed patient’ expects, leading to a disruptive relationship and, thus, to defensive behaviours </w:t>
      </w:r>
      <w:r w:rsidRPr="0097670D">
        <w:rPr>
          <w:sz w:val="22"/>
          <w:szCs w:val="22"/>
        </w:rPr>
        <w:fldChar w:fldCharType="begin" w:fldLock="1"/>
      </w:r>
      <w:r w:rsidRPr="0097670D">
        <w:rPr>
          <w:sz w:val="22"/>
          <w:szCs w:val="22"/>
        </w:rPr>
        <w:instrText>ADDIN CSL_CITATION {"citationItems":[{"id":"ITEM-1","itemData":{"DOI":"10.1186/s40248-015-0006-3","ISSN":"20496958","abstract":"Background: For many years until now, Italy has been subjected to an inconsistent and contradictory media campaign. On one hand the \"media\" present us with bold and reassuring messages about the progress of medical science; on the other hand they are prone to kneejerk criticism every time medical treatment does not have the desired effect, routinely describing such cases as glaring examples of \"malasanità\", an Italian word of recent coinage used to denote medical malpractice. Newspaper reports of legal proceedings involving health treatment are frequently full of errors and lack any scientific basis. Data sources: The published data confirm the unsustainably high number of lawsuits against doctors and medical structures, accompanied by demands for compensation arising from true or alleged medical errors or mistakes blamed on the work of health structures. Conclusions and implications: Currently Italian citizens have a greater awareness of their right to health than in the past, and patients' expectations have risen. A discrepancy is emerging between the current state of medical science and the capacities of individual doctors and health structures. Lastly, there is a need for greater monitoring of the quality of health care services and a greater emphasis on health risk prevention.","author":[{"dropping-particle":"","family":"Toraldo","given":"Domenico M.","non-dropping-particle":"","parse-names":false,"suffix":""},{"dropping-particle":"","family":"Vergari","given":"Ughetta","non-dropping-particle":"","parse-names":false,"suffix":""},{"dropping-particle":"","family":"Toraldo","given":"Marta","non-dropping-particle":"","parse-names":false,"suffix":""}],"container-title":"Multidisciplinary Respiratory Medicine","id":"ITEM-1","issue":"1","issued":{"date-parts":[["2015"]]},"page":"6-12","publisher":"???","title":"Medical malpractice, defensive medicine and role of the media in Italy","type":"article-journal","volume":"10"},"uris":["http://www.mendeley.com/documents/?uuid=4c30ca8d-cdac-4a91-a066-6589de49a198"]}],"mendeley":{"formattedCitation":"(Toraldo et al., 2015)","plainTextFormattedCitation":"(Toraldo et al., 2015)","previouslyFormattedCitation":"(Toraldo et al., 2015)"},"properties":{"noteIndex":0},"schema":"https://github.com/citation-style-language/schema/raw/master/csl-citation.json"}</w:instrText>
      </w:r>
      <w:r w:rsidRPr="0097670D">
        <w:rPr>
          <w:sz w:val="22"/>
          <w:szCs w:val="22"/>
        </w:rPr>
        <w:fldChar w:fldCharType="separate"/>
      </w:r>
      <w:r w:rsidRPr="0097670D">
        <w:rPr>
          <w:noProof/>
          <w:sz w:val="22"/>
          <w:szCs w:val="22"/>
          <w:lang w:val="en-US"/>
        </w:rPr>
        <w:t xml:space="preserve">(Toraldo </w:t>
      </w:r>
      <w:r w:rsidRPr="0097670D">
        <w:rPr>
          <w:i/>
          <w:iCs/>
          <w:noProof/>
          <w:sz w:val="22"/>
          <w:szCs w:val="22"/>
          <w:lang w:val="en-US"/>
        </w:rPr>
        <w:t>et al.</w:t>
      </w:r>
      <w:r w:rsidRPr="0097670D">
        <w:rPr>
          <w:noProof/>
          <w:sz w:val="22"/>
          <w:szCs w:val="22"/>
          <w:lang w:val="en-US"/>
        </w:rPr>
        <w:t>, 2015)</w:t>
      </w:r>
      <w:r w:rsidRPr="0097670D">
        <w:rPr>
          <w:sz w:val="22"/>
          <w:szCs w:val="22"/>
        </w:rPr>
        <w:fldChar w:fldCharType="end"/>
      </w:r>
      <w:r w:rsidRPr="0097670D">
        <w:rPr>
          <w:sz w:val="22"/>
          <w:szCs w:val="22"/>
          <w:lang w:val="en-US"/>
        </w:rPr>
        <w:t>.</w:t>
      </w:r>
    </w:p>
    <w:p w14:paraId="6448B3E0" w14:textId="5FF6BFCF" w:rsidR="002147D8" w:rsidRPr="0097670D" w:rsidRDefault="00890C24">
      <w:pPr>
        <w:spacing w:line="480" w:lineRule="auto"/>
        <w:ind w:firstLine="284"/>
        <w:jc w:val="both"/>
        <w:rPr>
          <w:sz w:val="22"/>
          <w:szCs w:val="22"/>
        </w:rPr>
      </w:pPr>
      <w:r w:rsidRPr="0097670D">
        <w:rPr>
          <w:sz w:val="22"/>
          <w:szCs w:val="22"/>
        </w:rPr>
        <w:t xml:space="preserve">Finally, but importantly, defensive medicine has a strong negative economic impact. In the United States, healthcare cost increases due to defensive medicine range between 5% and 9%. In Italy, the increase is about 10.5% and 14% of the annual healthcare spending for the public and the private sectors, respectively </w:t>
      </w:r>
      <w:r w:rsidRPr="0097670D">
        <w:rPr>
          <w:sz w:val="22"/>
          <w:szCs w:val="22"/>
        </w:rPr>
        <w:fldChar w:fldCharType="begin" w:fldLock="1"/>
      </w:r>
      <w:r w:rsidRPr="0097670D">
        <w:rPr>
          <w:sz w:val="22"/>
          <w:szCs w:val="22"/>
        </w:rPr>
        <w:instrText>ADDIN CSL_CITATION {"citationItems":[{"id":"ITEM-1","itemData":{"DOI":"10.18662/lumproc.rsacvp2017.82","author":[{"dropping-particle":"","family":"Tinica","given":"G.","non-dropping-particle":"","parse-names":false,"suffix":""},{"dropping-particle":"","family":"Tomaziu-Todosia","given":"M.","non-dropping-particle":"","parse-names":false,"suffix":""},{"dropping-particle":"","family":"Tomaziu Todosia, G.-C. Christol","given":"R.O.","non-dropping-particle":"","parse-names":false,"suffix":""},{"dropping-particle":"","family":"Bulgariu-Iliescu","given":"D.","non-dropping-particle":"","parse-names":false,"suffix":""},{"dropping-particle":"","family":"Furnica","given":"C.","non-dropping-particle":"","parse-names":false,"suffix":""}],"container-title":"Rethinking Social Action. Core Values in Practice","id":"ITEM-1","issued":{"date-parts":[["2017","12","14"]]},"page":"898-910","title":"Defensive Medicine: Myths and Realities","type":"paper-conference","volume":"1"},"uris":["http://www.mendeley.com/documents/?uuid=0e14e71d-efc8-3a0c-b7ee-0de76a55459a"]}],"mendeley":{"formattedCitation":"(Tinica et al., 2017)","plainTextFormattedCitation":"(Tinica et al., 2017)","previouslyFormattedCitation":"(Tinica et al., 2017)"},"properties":{"noteIndex":0},"schema":"https://github.com/citation-style-language/schema/raw/master/csl-citation.json"}</w:instrText>
      </w:r>
      <w:r w:rsidRPr="0097670D">
        <w:rPr>
          <w:sz w:val="22"/>
          <w:szCs w:val="22"/>
        </w:rPr>
        <w:fldChar w:fldCharType="separate"/>
      </w:r>
      <w:r w:rsidRPr="0097670D">
        <w:rPr>
          <w:noProof/>
          <w:sz w:val="22"/>
          <w:szCs w:val="22"/>
        </w:rPr>
        <w:t xml:space="preserve">(Tinica </w:t>
      </w:r>
      <w:r w:rsidRPr="0097670D">
        <w:rPr>
          <w:i/>
          <w:iCs/>
          <w:noProof/>
          <w:sz w:val="22"/>
          <w:szCs w:val="22"/>
        </w:rPr>
        <w:t>et al.</w:t>
      </w:r>
      <w:r w:rsidRPr="0097670D">
        <w:rPr>
          <w:noProof/>
          <w:sz w:val="22"/>
          <w:szCs w:val="22"/>
        </w:rPr>
        <w:t>, 2017)</w:t>
      </w:r>
      <w:r w:rsidRPr="0097670D">
        <w:rPr>
          <w:sz w:val="22"/>
          <w:szCs w:val="22"/>
        </w:rPr>
        <w:fldChar w:fldCharType="end"/>
      </w:r>
      <w:r w:rsidRPr="0097670D">
        <w:rPr>
          <w:sz w:val="22"/>
          <w:szCs w:val="22"/>
        </w:rPr>
        <w:t>. This phenomenon is influenced by the domestic legal culture. For this reason, it is possible to find several empirical studies based on surveys and focus groups about the rate of its diffusion. Just to cite some of them,</w:t>
      </w:r>
      <w:r w:rsidR="00DD223D" w:rsidRPr="0097670D">
        <w:rPr>
          <w:sz w:val="22"/>
          <w:szCs w:val="22"/>
        </w:rPr>
        <w:t xml:space="preserve"> the percentages of doctors who claimed the practice of</w:t>
      </w:r>
      <w:r w:rsidRPr="0097670D">
        <w:rPr>
          <w:sz w:val="22"/>
          <w:szCs w:val="22"/>
        </w:rPr>
        <w:t xml:space="preserve"> defensive </w:t>
      </w:r>
      <w:r w:rsidR="00DD223D" w:rsidRPr="0097670D">
        <w:rPr>
          <w:sz w:val="22"/>
          <w:szCs w:val="22"/>
        </w:rPr>
        <w:t>behaviours</w:t>
      </w:r>
      <w:r w:rsidRPr="0097670D">
        <w:rPr>
          <w:sz w:val="22"/>
          <w:szCs w:val="22"/>
        </w:rPr>
        <w:t xml:space="preserve"> </w:t>
      </w:r>
      <w:r w:rsidR="00DD223D" w:rsidRPr="0097670D">
        <w:rPr>
          <w:sz w:val="22"/>
          <w:szCs w:val="22"/>
        </w:rPr>
        <w:t>are around</w:t>
      </w:r>
      <w:r w:rsidRPr="0097670D">
        <w:rPr>
          <w:sz w:val="22"/>
          <w:szCs w:val="22"/>
        </w:rPr>
        <w:t xml:space="preserve"> 73% in the USA, 60% in </w:t>
      </w:r>
      <w:r w:rsidRPr="0097670D">
        <w:rPr>
          <w:sz w:val="22"/>
          <w:szCs w:val="22"/>
        </w:rPr>
        <w:lastRenderedPageBreak/>
        <w:t xml:space="preserve">Italy, 54–62% in Israel, 98% in Japan, 72% in Turkey, and, less frequently, in the UK, China, Australia, Romania, Canada, South Africa, France, Switzerland, Belgium, and Scandinavian countries </w:t>
      </w:r>
      <w:r w:rsidRPr="0097670D">
        <w:rPr>
          <w:sz w:val="22"/>
          <w:szCs w:val="22"/>
        </w:rPr>
        <w:fldChar w:fldCharType="begin" w:fldLock="1"/>
      </w:r>
      <w:r w:rsidRPr="0097670D">
        <w:rPr>
          <w:sz w:val="22"/>
          <w:szCs w:val="22"/>
        </w:rPr>
        <w:instrText>ADDIN CSL_CITATION {"citationItems":[{"id":"ITEM-1","itemData":{"DOI":"10.1177/1363459319857461","ISBN":"1363459319857","ISSN":"14617196","abstract":"The aim of this article is to show how Jürgen Habermas’ communicative action theory serves as a useful tool in analysing and interpreting empirical data on how Danish general practitioners experience defensive medicine in their everyday working life. Through six qualitative focus group interviews with a total of 28 general practitioners (14 men and 14 women), the general practitioners’ understandings of and experiences with defensive medicine were unfolded and discussed. Traditionally, defensive medicine is understood as physicians’ deviation from sound medical practice due to fears of liability claims or lawsuits. In this study, however, a broader understanding of defensive medicine emerged as unnecessary medical actions that are more substantiated by feelings of demands and pressures than meaningful clinical behaviour. As a first analytical step, the data are contextualized drawing on the medical sociological literature that has theorized recent changes within primary health care such as regulation, audit, standardization and consumerism. Using Habermas’ theorization to further interpret the general practitioners’ experiences, we argue that central areas of the general practitioners’ clinical everyday work life can be seen as having become subject to the habermasian social and political processes of ‘strategic action’ and ‘colonization’. It is furthermore shown that the general practitioners share an impulse to resist these colonizing processes, hereby pointing to a need for challenging the increasingly defensive medical culture that seems to pervade the organization of general practice today.","author":[{"dropping-particle":"","family":"Assing Hvidt","given":"Elisabeth","non-dropping-particle":"","parse-names":false,"suffix":""},{"dropping-particle":"","family":"Bjørnskov Pedersen","given":"Line","non-dropping-particle":"","parse-names":false,"suffix":""},{"dropping-particle":"","family":"Lykkegaard","given":"Jesper","non-dropping-particle":"","parse-names":false,"suffix":""},{"dropping-particle":"","family":"Møller Pedersen","given":"Kjeld","non-dropping-particle":"","parse-names":false,"suffix":""},{"dropping-particle":"","family":"Andersen","given":"Merethe Kousgaard","non-dropping-particle":"","parse-names":false,"suffix":""}],"container-title":"Health (United Kingdom)","id":"ITEM-1","issued":{"date-parts":[["2019"]]},"title":"A colonized general practice? A critical habermasian analysis of how general practitioners experience defensive medicine in their everyday working life","type":"article-journal"},"uris":["http://www.mendeley.com/documents/?uuid=5cab1495-b2c9-462d-8c48-bf1b19ea4ae0"]},{"id":"ITEM-2","itemData":{"DOI":"10.1136/bmjopen-2019-034300","ISSN":"20446055","PMID":"32114473","abstract":"Introduction The term defensive medicine, referring to actions motivated primarily by litigious concerns, originates from the USA and has been used in medical research literature since the late 1960s. Differences in medical legal systems between the US and most European countries with no tort legislation raise the question whether the US definition of defensive medicine holds true in Europe. Aim To present the protocol of a systematic review investigating variations in definitions and understandings of the term € defensive medicine' in European research articles. Methods and analysis In concordance with the Preferred Reporting Items for Systematic Reviews and Meta-Analyses guidelines, a systematic review of all medical research literature that investigate defensive medicine will be performed by two independent reviewers. The databases PubMed, Embase and Cochrane will be systematically searched on the basis of predetermined criteria. Data from all included European studies will systematically be extracted including the studies' definitions and understandings of defensive medicine, especially the motives for doing medical actions that the study regards as € defensive'. Ethics and dissemination No ethics clearance is required as no primary data will be collected. The results of the systematic review will be published in a peer-reviewed, international journal. PROSPERO registration number This review has been submitted to International Prospective Register of Systematic Reviews (PROSPERO) and is awaiting registration.","author":[{"dropping-particle":"","family":"Baungaard","given":"Nathalie","non-dropping-particle":"","parse-names":false,"suffix":""},{"dropping-particle":"","family":"Skovvang","given":"Pia","non-dropping-particle":"","parse-names":false,"suffix":""},{"dropping-particle":"","family":"Assing Hvidt","given":"Elisabeth","non-dropping-particle":"","parse-names":false,"suffix":""},{"dropping-particle":"","family":"Gerbild","given":"Helle","non-dropping-particle":"","parse-names":false,"suffix":""},{"dropping-particle":"","family":"Kirstine Andersen","given":"Merethe","non-dropping-particle":"","parse-names":false,"suffix":""},{"dropping-particle":"","family":"Lykkegaard","given":"Jesper","non-dropping-particle":"","parse-names":false,"suffix":""}],"container-title":"BMJ Open","id":"ITEM-2","issue":"2","issued":{"date-parts":[["2020"]]},"page":"1-4","title":"How defensive medicine is defined and understood in European medical literature: Protocol for a systematic review","type":"article-journal","volume":"10"},"uris":["http://www.mendeley.com/documents/?uuid=79fb0451-b243-4cb2-bc35-ea28fa294e33"]},{"id":"ITEM-3","itemData":{"DOI":"10.1016/j.jflm.2020.101970","ISSN":"18787487","PMID":"32442116","abstract":"Background: The term defensive medicine refers to medical behaviors that avoid physician liability without providing increased benefits to the patient. High rates of defensive medicine ranging from 54% to 98% have been reported in different countries. Aim: This study aimed to evaluate the defensive medicine knowledge, attitudes, and behaviors of physicians working in the surgical departments of a Turkish university hospital. Methods: All 220 physicians working at the Atatürk University Hospital were invited to participate in this cross-sectional study. Responses from 190 participants were analyzed. Data were collected by face-to-face interview using six demographic questions and the Defensive Medicine Behavior Scale. Results: The frequency of application of at least one positive or negative aspect of defensive medicine was 94.2% (n = 179). The highest Defensive Medicine Behavior Scale scores were among participants from the pediatric surgery department (median: 43.0, IQR: 4.0). Factors affecting Defensive Medicine Behavior Scale scores were academic title, specialty, and a history of lawsuits because of malpractice. A history of medical malpractice litigation was encountered among 24.7% of participants (n = 47). Conclusion: This study determined high rates of defensive medicine among physicians. Defensive medicine can harm patients, physicians, and also the healthcare system. Efforts should be made to keep health worker anxiety and risk perception in balance in order to prevent defensive medicine.","author":[{"dropping-particle":"","family":"Calikoglu","given":"Elif Oksan","non-dropping-particle":"","parse-names":false,"suffix":""},{"dropping-particle":"","family":"Aras","given":"Aysun","non-dropping-particle":"","parse-names":false,"suffix":""}],"container-title":"Journal of Forensic and Legal Medicine","id":"ITEM-3","issue":"May","issued":{"date-parts":[["2020"]]},"page":"101970","publisher":"Elsevier Ltd","title":"Defensive medicine among different surgical disciplines: A descriptive cross-sectional study","type":"article-journal","volume":"73"},"uris":["http://www.mendeley.com/documents/?uuid=9555e063-7271-4c4a-8c29-d73c9b2eaa59"]},{"id":"ITEM-4","itemData":{"DOI":"10.1080/03605310701681021","ISSN":"03605310","abstract":"In contemporary China, physicians tend to require more diagnostic work-ups and prescribe more expensive medications than are clearly medically indicated. These practices have been interpreted as defensive medicine in response to a rising threat of potential medical malpractice lawsuits. After outlining recent changes in Chinese malpractice law, this essay contends that the overuse of expensive diagnostic and therapeutic interventions cannot be attributed to malpractice concerns alone. These practice patterns are due as well, if not primarily, to the corruption of medical decision-making by physicians being motivated to earn supplementary income, given the constraints of an ill-structured governmental policy by the over-use of expensive diagnostic and therapeutic interventions. To respond to these difficulties of Chinese health care policy, China will need not only to reform the particular policies that encourage these behaviors, but also to nurture a moral understanding that can place the pursuit of profit within the pursuit of virtue. This can be done by drawing on Confucian moral resources that integrate the pursuit of profit within an appreciation of benevolence. It is this Confucian moral account that can formulate a medical care policy suitable to China's contemporary market economy. Copyright © Taylor &amp; Francis Group, LLC.","author":[{"dropping-particle":"","family":"Chen","given":"Xiao Yang","non-dropping-particle":"","parse-names":false,"suffix":""}],"container-title":"Journal of Medicine and Philosophy","id":"ITEM-4","issue":"6","issued":{"date-parts":[["2007"]]},"page":"635-648","title":"Defensive medicine or economically motivated corruption? A Confucian reflection on physician care in China today","type":"article-journal","volume":"32"},"uris":["http://www.mendeley.com/documents/?uuid=0ca75a7f-0627-4dad-974b-604665dd067c"]},{"id":"ITEM-5","itemData":{"DOI":"10.1007/s10198-019-01144-0","ISBN":"0123456789","ISSN":"16187601","PMID":"31879861","author":[{"dropping-particle":"","family":"Garattini","given":"Livio","non-dropping-particle":"","parse-names":false,"suffix":""},{"dropping-particle":"","family":"Padula","given":"Anna","non-dropping-particle":"","parse-names":false,"suffix":""}],"container-title":"European Journal of Health Economics","id":"ITEM-5","issue":"2","issued":{"date-parts":[["2020"]]},"page":"165-170","publisher":"Springer Berlin Heidelberg","title":"Defensive medicine in Europe: a ‘full circle’?","type":"article-journal","volume":"21"},"uris":["http://www.mendeley.com/documents/?uuid=24618be5-9efc-4c3b-8a05-c340c8f32592"]}],"mendeley":{"formattedCitation":"(Assing Hvidt et al., 2019; Baungaard et al., 2020; Calikoglu and Aras, 2020; Chen, 2007; Garattini and Padula, 2020)","plainTextFormattedCitation":"(Assing Hvidt et al., 2019; Baungaard et al., 2020; Calikoglu and Aras, 2020; Chen, 2007; Garattini and Padula, 2020)","previouslyFormattedCitation":"(Assing Hvidt et al., 2019; Baungaard et al., 2020; Calikoglu and Aras, 2020; Chen, 2007; Garattini and Padula, 2020)"},"properties":{"noteIndex":0},"schema":"https://github.com/citation-style-language/schema/raw/master/csl-citation.json"}</w:instrText>
      </w:r>
      <w:r w:rsidRPr="0097670D">
        <w:rPr>
          <w:sz w:val="22"/>
          <w:szCs w:val="22"/>
        </w:rPr>
        <w:fldChar w:fldCharType="separate"/>
      </w:r>
      <w:r w:rsidRPr="0097670D">
        <w:rPr>
          <w:noProof/>
          <w:sz w:val="22"/>
          <w:szCs w:val="22"/>
        </w:rPr>
        <w:t xml:space="preserve">(Assing Hvidt </w:t>
      </w:r>
      <w:r w:rsidRPr="0097670D">
        <w:rPr>
          <w:i/>
          <w:iCs/>
          <w:noProof/>
          <w:sz w:val="22"/>
          <w:szCs w:val="22"/>
        </w:rPr>
        <w:t>et al.</w:t>
      </w:r>
      <w:r w:rsidRPr="0097670D">
        <w:rPr>
          <w:noProof/>
          <w:sz w:val="22"/>
          <w:szCs w:val="22"/>
        </w:rPr>
        <w:t xml:space="preserve">, 2019; Baungaard </w:t>
      </w:r>
      <w:r w:rsidRPr="0097670D">
        <w:rPr>
          <w:i/>
          <w:iCs/>
          <w:noProof/>
          <w:sz w:val="22"/>
          <w:szCs w:val="22"/>
        </w:rPr>
        <w:t>et al.</w:t>
      </w:r>
      <w:r w:rsidRPr="0097670D">
        <w:rPr>
          <w:noProof/>
          <w:sz w:val="22"/>
          <w:szCs w:val="22"/>
        </w:rPr>
        <w:t>, 2020; Calikoglu and Aras, 2020; Chen, 2007; Garattini and Padula, 2020)</w:t>
      </w:r>
      <w:r w:rsidRPr="0097670D">
        <w:rPr>
          <w:sz w:val="22"/>
          <w:szCs w:val="22"/>
        </w:rPr>
        <w:fldChar w:fldCharType="end"/>
      </w:r>
      <w:r w:rsidRPr="0097670D">
        <w:rPr>
          <w:sz w:val="22"/>
          <w:szCs w:val="22"/>
        </w:rPr>
        <w:t>.</w:t>
      </w:r>
    </w:p>
    <w:p w14:paraId="18294BEF" w14:textId="77777777" w:rsidR="00DD223D" w:rsidRPr="0097670D" w:rsidRDefault="00DD223D">
      <w:pPr>
        <w:spacing w:line="480" w:lineRule="auto"/>
        <w:ind w:firstLine="284"/>
        <w:jc w:val="both"/>
        <w:rPr>
          <w:sz w:val="22"/>
          <w:szCs w:val="22"/>
        </w:rPr>
      </w:pPr>
    </w:p>
    <w:p w14:paraId="5A5C3C9C" w14:textId="626E8F95" w:rsidR="002147D8" w:rsidRPr="0097670D" w:rsidRDefault="00890C24">
      <w:pPr>
        <w:spacing w:line="480" w:lineRule="auto"/>
        <w:jc w:val="both"/>
        <w:rPr>
          <w:i/>
          <w:sz w:val="22"/>
          <w:szCs w:val="22"/>
        </w:rPr>
      </w:pPr>
      <w:r w:rsidRPr="0097670D">
        <w:rPr>
          <w:i/>
          <w:sz w:val="22"/>
          <w:szCs w:val="22"/>
        </w:rPr>
        <w:t>Patient–Physician Relationship</w:t>
      </w:r>
    </w:p>
    <w:p w14:paraId="1F8E1174" w14:textId="08317263" w:rsidR="002147D8" w:rsidRPr="0097670D" w:rsidRDefault="00890C24">
      <w:pPr>
        <w:spacing w:line="480" w:lineRule="auto"/>
        <w:jc w:val="both"/>
        <w:rPr>
          <w:sz w:val="22"/>
          <w:szCs w:val="22"/>
        </w:rPr>
      </w:pPr>
      <w:bookmarkStart w:id="7" w:name="_Hlk66889774"/>
      <w:r w:rsidRPr="0097670D">
        <w:rPr>
          <w:sz w:val="22"/>
          <w:szCs w:val="22"/>
        </w:rPr>
        <w:t>The value co-creation and defensive medicine phenomena are both strongly influenced by the ways in which the patient and the physician interact with each other. The patient–physician relationship has been studied for many years, and a variety of archetypes, models, and theories have been developed by scholars and have evolved along with societies.</w:t>
      </w:r>
    </w:p>
    <w:p w14:paraId="28404E62" w14:textId="1F1D06D0" w:rsidR="002147D8" w:rsidRPr="0097670D" w:rsidRDefault="00890C24">
      <w:pPr>
        <w:spacing w:line="480" w:lineRule="auto"/>
        <w:ind w:firstLine="284"/>
        <w:jc w:val="both"/>
        <w:rPr>
          <w:sz w:val="22"/>
          <w:szCs w:val="22"/>
        </w:rPr>
      </w:pPr>
      <w:r w:rsidRPr="0097670D">
        <w:rPr>
          <w:sz w:val="22"/>
          <w:szCs w:val="22"/>
        </w:rPr>
        <w:t xml:space="preserve">Many writings on medical ethics in the decade of approximately 1967–1977 </w:t>
      </w:r>
      <w:bookmarkEnd w:id="7"/>
      <w:r w:rsidRPr="0097670D">
        <w:rPr>
          <w:sz w:val="22"/>
          <w:szCs w:val="22"/>
        </w:rPr>
        <w:t xml:space="preserve">can be seen as critiques of the paternalistic view, which could be considered the oldest archetype of the patient–physician relationship, but it is still common in many cultures. It assumes that the physician has the expertise necessary to unilaterally determine and manage the care process in the best interests of the patient </w:t>
      </w:r>
      <w:r w:rsidRPr="0097670D">
        <w:rPr>
          <w:sz w:val="22"/>
          <w:szCs w:val="22"/>
        </w:rPr>
        <w:fldChar w:fldCharType="begin" w:fldLock="1"/>
      </w:r>
      <w:r w:rsidRPr="0097670D">
        <w:rPr>
          <w:sz w:val="22"/>
          <w:szCs w:val="22"/>
        </w:rPr>
        <w:instrText>ADDIN CSL_CITATION {"citationItems":[{"id":"ITEM-1","itemData":{"ISSN":"08203946","abstract":"Historical views of the patient-physician relationship assumed that the physician's role was to act in the best interests of the patient and to direct care and make decisions about treatment on the patient's behalf. However, under current legal and ethical principles, beneficence is no longer sufficient; respect for autonomy is paramount, necessitating patient participation. None the less, physicians question whether patient participation is realistic in actual clinical situations. This first of two articles reviews models of the patient-physician relationship and the literature about barriers to participation, the effect of participation on patient outcome and the extent to which patient want to be informed. The image of a dependent patient who prefers to be sheltered from harsh truths is not supported. It appears that most patients wish to have information, although there is an identifiable proportion who do not. To be understood, health information must be presented in a way that is appropriate to the patient. Format, content and timing of the material are all important. Mechanisms for incorporating such information into busy clinical practices are crucial.","author":[{"dropping-particle":"","family":"Deber","given":"R. B.","non-dropping-particle":"","parse-names":false,"suffix":""}],"container-title":"Canadian Medical Association Journal","id":"ITEM-1","issue":"2","issued":{"date-parts":[["1994"]]},"page":"171-176","title":"Physicians in health care management: 7. The patient-physician partnership: Changing roles and the desire for information","type":"article-journal","volume":"151"},"uris":["http://www.mendeley.com/documents/?uuid=3cc25226-510b-403d-bd87-eb1eb500558a"]}],"mendeley":{"formattedCitation":"(Deber, 1994)","plainTextFormattedCitation":"(Deber, 1994)","previouslyFormattedCitation":"(Deber, 1994)"},"properties":{"noteIndex":0},"schema":"https://github.com/citation-style-language/schema/raw/master/csl-citation.json"}</w:instrText>
      </w:r>
      <w:r w:rsidRPr="0097670D">
        <w:rPr>
          <w:sz w:val="22"/>
          <w:szCs w:val="22"/>
        </w:rPr>
        <w:fldChar w:fldCharType="separate"/>
      </w:r>
      <w:r w:rsidRPr="0097670D">
        <w:rPr>
          <w:noProof/>
          <w:sz w:val="22"/>
          <w:szCs w:val="22"/>
        </w:rPr>
        <w:t>(Deber, 1994)</w:t>
      </w:r>
      <w:r w:rsidRPr="0097670D">
        <w:rPr>
          <w:sz w:val="22"/>
          <w:szCs w:val="22"/>
        </w:rPr>
        <w:fldChar w:fldCharType="end"/>
      </w:r>
      <w:r w:rsidRPr="0097670D">
        <w:rPr>
          <w:sz w:val="22"/>
          <w:szCs w:val="22"/>
        </w:rPr>
        <w:t xml:space="preserve">. To argue that both the physician's and the patient's perspectives should be considered with equal weight in approaching an ethically appropriate relationship, </w:t>
      </w:r>
      <w:r w:rsidRPr="0097670D">
        <w:rPr>
          <w:sz w:val="22"/>
          <w:szCs w:val="22"/>
        </w:rPr>
        <w:fldChar w:fldCharType="begin" w:fldLock="1"/>
      </w:r>
      <w:r w:rsidRPr="0097670D">
        <w:rPr>
          <w:sz w:val="22"/>
          <w:szCs w:val="22"/>
        </w:rPr>
        <w:instrText>ADDIN CSL_CITATION {"citationItems":[{"id":"ITEM-1","itemData":{"DOI":"10.2307/3560825","ISSN":"00930334","abstract":"FOUR MODELS FOR THE PATIENT-PHYSICIAN RELATIONSHIP IN MODERN WESTERN MEDICINE ARE EXAMINED. (1) THE ENGINEERING MODEL MAKES THE PHYSICIAN AN APPLIED SCIENTIST ATTEMPTING TO DIVORCE HIMSELF FROM CONSIDERATIONS OF VALUE PROVIDING SERVICES AT THE PATIENT'S REQUEST. (2) THE PRIESTLY MODEL SEES THE PHYSICIAN IN THE OPPOSITE ROLE. INSTEAD OF MAKING THE PHYSICIAN A PLUMBER, IT MAKES HIM A PATERNALISTIC AUTHORITY FIGURE. PHYSICIANS MAY, IN FACT, AS A GROUP HOLD UNIQUE MORAL VALUES NOT SHARED BY PATIENTS AS A GROUP OR INDIVIDUAL PATIENTS. (3) THE COLLEGIAL MODEL SEES THE PHYSICIAN AND PATIENT AS COLLEAGUES PURSUING A COMMON GOAL. THIS, HOWEVER, REQUIRES THE ASSUMPTION OF MUTUAL TRUST AND CONFIDENCE AND A COMMONALITY OF INTEREST WHICH IS FREQUENTLY UNJUSTIFIED. IT MAY ALSO IGNORE THE NEED FOR PUBLIC REGULATION OF MEDICAL PRACTICE. (4) THE CONTRACTUAL MODEL IS ONE OF TWO INDIVIDUALS OR GROUPS WITH MUTUAL OBLIGATIONS AND BENEFITS LIMITED IN SCOPE. IT RECOGNIZES A LACK OF SYMMETRY OF INTERESTS, SKILLS, AND POWER AND AVOIDS THE ABDICATION OF MORAL AUTHORITY ON THE PART OF THE PHYSICIAN OR THE PATIENT.","author":[{"dropping-particle":"","family":"Veatch","given":"Robert M.","non-dropping-particle":"","parse-names":false,"suffix":""}],"container-title":"The Hastings Center Report","id":"ITEM-1","issue":"3","issued":{"date-parts":[["1972"]]},"page":"5","title":"Models for Ethical Medicine in a Revolutionary Age","type":"article-journal","volume":"2"},"uris":["http://www.mendeley.com/documents/?uuid=57ce4f70-e534-4061-af44-a46ce52d55b2"]}],"mendeley":{"formattedCitation":"(Veatch, 1972)","manualFormatting":"Veatch (1972)","plainTextFormattedCitation":"(Veatch, 1972)","previouslyFormattedCitation":"(Veatch, 1972)"},"properties":{"noteIndex":0},"schema":"https://github.com/citation-style-language/schema/raw/master/csl-citation.json"}</w:instrText>
      </w:r>
      <w:r w:rsidRPr="0097670D">
        <w:rPr>
          <w:sz w:val="22"/>
          <w:szCs w:val="22"/>
        </w:rPr>
        <w:fldChar w:fldCharType="separate"/>
      </w:r>
      <w:r w:rsidRPr="0097670D">
        <w:rPr>
          <w:noProof/>
          <w:sz w:val="22"/>
          <w:szCs w:val="22"/>
        </w:rPr>
        <w:t>Veatch (1972)</w:t>
      </w:r>
      <w:r w:rsidRPr="0097670D">
        <w:rPr>
          <w:sz w:val="22"/>
          <w:szCs w:val="22"/>
        </w:rPr>
        <w:fldChar w:fldCharType="end"/>
      </w:r>
      <w:r w:rsidRPr="0097670D">
        <w:rPr>
          <w:sz w:val="22"/>
          <w:szCs w:val="22"/>
        </w:rPr>
        <w:t xml:space="preserve"> proposed the contractual model. This archetype was widely discussed in the literature at that time, and some refinements were proposed </w:t>
      </w:r>
      <w:r w:rsidRPr="0097670D">
        <w:rPr>
          <w:sz w:val="22"/>
          <w:szCs w:val="22"/>
        </w:rPr>
        <w:fldChar w:fldCharType="begin" w:fldLock="1"/>
      </w:r>
      <w:r w:rsidR="00686DE6" w:rsidRPr="0097670D">
        <w:rPr>
          <w:sz w:val="22"/>
          <w:szCs w:val="22"/>
        </w:rPr>
        <w:instrText>ADDIN CSL_CITATION {"citationItems":[{"id":"ITEM-1","itemData":{"DOI":"10.1007/s13398-014-0173-7.2","ISBN":"9780874216561","ISSN":"0717-6163","PMID":"15003161","abstract":"The objective of this case study was to obtain some first-hand information about the functional consequences of a cosmetic tongue split operation for speech and tongue motility. One male patient who had performed the operation on himself was interviewed and underwent a tongue motility assessment, as well as an ultrasound examination. Tongue motility was mildly reduced as a result of tissue scarring. Speech was rated to be fully intelligible and highly acceptable by 4 raters, although 2 raters noticed slight distortions of the sibilants /s/ and /z/. The 3-dimensional ultrasound demonstrated that the synergy of the 2 sides of the tongue was preserved. A notably deep posterior genioglossus furrow indicated compensation for the reduced length of the tongue blade. It is concluded that the tongue split procedure did not significantly affect the participant's speech intelligibility and tongue motility.","author":[{"dropping-particle":"","family":"Brody","given":"Howard","non-dropping-particle":"","parse-names":false,"suffix":""}],"container-title":"Theoretical Medicine","id":"ITEM-1","issue":"2","issued":{"date-parts":[["1987"]]},"page":"205-220","title":"The Physician Patient Relationship:Models and Criticisms","type":"article-journal","volume":"XXXIII"},"uris":["http://www.mendeley.com/documents/?uuid=d39082bd-7c47-4adf-882a-01677eb69712"]}],"mendeley":{"formattedCitation":"(Brody, 1987)","plainTextFormattedCitation":"(Brody, 1987)","previouslyFormattedCitation":"(Brody, 1987)"},"properties":{"noteIndex":0},"schema":"https://github.com/citation-style-language/schema/raw/master/csl-citation.json"}</w:instrText>
      </w:r>
      <w:r w:rsidRPr="0097670D">
        <w:rPr>
          <w:sz w:val="22"/>
          <w:szCs w:val="22"/>
        </w:rPr>
        <w:fldChar w:fldCharType="separate"/>
      </w:r>
      <w:r w:rsidR="00DD223D" w:rsidRPr="0097670D">
        <w:rPr>
          <w:noProof/>
          <w:sz w:val="22"/>
          <w:szCs w:val="22"/>
        </w:rPr>
        <w:t>(Brody, 1987)</w:t>
      </w:r>
      <w:r w:rsidRPr="0097670D">
        <w:rPr>
          <w:sz w:val="22"/>
          <w:szCs w:val="22"/>
        </w:rPr>
        <w:fldChar w:fldCharType="end"/>
      </w:r>
      <w:r w:rsidRPr="0097670D">
        <w:rPr>
          <w:sz w:val="22"/>
          <w:szCs w:val="22"/>
        </w:rPr>
        <w:t xml:space="preserve">. According to this model, the physician took responsibility for all purely technical decisions and the patient retained control over decisions made according to their personal moral values or lifestyle preferences. Thanks to this alternative way of considering the relationship between the doctor and the patient, the conception of healthcare as a service became much stronger. In fact, </w:t>
      </w:r>
      <w:r w:rsidRPr="0097670D">
        <w:rPr>
          <w:sz w:val="22"/>
          <w:szCs w:val="22"/>
        </w:rPr>
        <w:fldChar w:fldCharType="begin" w:fldLock="1"/>
      </w:r>
      <w:r w:rsidRPr="0097670D">
        <w:rPr>
          <w:sz w:val="22"/>
          <w:szCs w:val="22"/>
        </w:rPr>
        <w:instrText>ADDIN CSL_CITATION {"citationItems":[{"id":"ITEM-1","itemData":{"DOI":"10.1016/0738-3991(87)90106-6","ISSN":"07383991","abstract":"This paper explores health education's responsibility for advocacy of a client-provider model of relationship which emphasizes active partnership and participation. Arguments supporting the model are made on the basis of philosophical and theoretical concerns, its consistency with health education tenets, and national trends towards greater consumerism. © 1987.","author":[{"dropping-particle":"","family":"Roter","given":"Debra","non-dropping-particle":"","parse-names":false,"suffix":""}],"container-title":"Patient Education and Counseling","id":"ITEM-1","issue":"1","issued":{"date-parts":[["1987"]]},"page":"25-31","title":"An exploration of health education's responsibility for a partnership model of client-provider relations","type":"article-journal","volume":"9"},"uris":["http://www.mendeley.com/documents/?uuid=b72e4d88-bfe1-43cc-b301-ba0958bb059e"]}],"mendeley":{"formattedCitation":"(Roter, 1987)","manualFormatting":"Roter (1987)","plainTextFormattedCitation":"(Roter, 1987)","previouslyFormattedCitation":"(Roter, 1987)"},"properties":{"noteIndex":0},"schema":"https://github.com/citation-style-language/schema/raw/master/csl-citation.json"}</w:instrText>
      </w:r>
      <w:r w:rsidRPr="0097670D">
        <w:rPr>
          <w:sz w:val="22"/>
          <w:szCs w:val="22"/>
        </w:rPr>
        <w:fldChar w:fldCharType="separate"/>
      </w:r>
      <w:r w:rsidRPr="0097670D">
        <w:rPr>
          <w:noProof/>
          <w:sz w:val="22"/>
          <w:szCs w:val="22"/>
        </w:rPr>
        <w:t>Roter (1987)</w:t>
      </w:r>
      <w:r w:rsidRPr="0097670D">
        <w:rPr>
          <w:sz w:val="22"/>
          <w:szCs w:val="22"/>
        </w:rPr>
        <w:fldChar w:fldCharType="end"/>
      </w:r>
      <w:r w:rsidRPr="0097670D">
        <w:rPr>
          <w:sz w:val="22"/>
          <w:szCs w:val="22"/>
        </w:rPr>
        <w:t xml:space="preserve"> speaks about clients and providers, referring to patients and doctors/hospitals, and she </w:t>
      </w:r>
      <w:r w:rsidR="00F05856" w:rsidRPr="0097670D">
        <w:rPr>
          <w:sz w:val="22"/>
          <w:szCs w:val="22"/>
        </w:rPr>
        <w:t>analysed</w:t>
      </w:r>
      <w:r w:rsidRPr="0097670D">
        <w:rPr>
          <w:sz w:val="22"/>
          <w:szCs w:val="22"/>
        </w:rPr>
        <w:t xml:space="preserve"> </w:t>
      </w:r>
      <w:r w:rsidR="00F05856" w:rsidRPr="0097670D">
        <w:rPr>
          <w:sz w:val="22"/>
          <w:szCs w:val="22"/>
        </w:rPr>
        <w:t>three</w:t>
      </w:r>
      <w:r w:rsidRPr="0097670D">
        <w:rPr>
          <w:sz w:val="22"/>
          <w:szCs w:val="22"/>
        </w:rPr>
        <w:t xml:space="preserve"> typologies of patient–physician relationships: authoritarian guidance (high physician control), partnership, and independent decision-making (high patient control).</w:t>
      </w:r>
    </w:p>
    <w:p w14:paraId="460BC4C4" w14:textId="58A33C49" w:rsidR="002147D8" w:rsidRPr="0097670D" w:rsidRDefault="00890C24">
      <w:pPr>
        <w:spacing w:line="480" w:lineRule="auto"/>
        <w:ind w:firstLine="284"/>
        <w:jc w:val="both"/>
        <w:rPr>
          <w:sz w:val="22"/>
          <w:szCs w:val="22"/>
        </w:rPr>
      </w:pPr>
      <w:r w:rsidRPr="0097670D">
        <w:rPr>
          <w:sz w:val="22"/>
          <w:szCs w:val="22"/>
        </w:rPr>
        <w:t xml:space="preserve">Since patients started reporting higher levels of satisfaction in cases of partnership or, more generally, when their needs and preferences were taken into consideration </w:t>
      </w:r>
      <w:r w:rsidRPr="0097670D">
        <w:rPr>
          <w:sz w:val="22"/>
          <w:szCs w:val="22"/>
        </w:rPr>
        <w:fldChar w:fldCharType="begin" w:fldLock="1"/>
      </w:r>
      <w:r w:rsidRPr="0097670D">
        <w:rPr>
          <w:sz w:val="22"/>
          <w:szCs w:val="22"/>
        </w:rPr>
        <w:instrText>ADDIN CSL_CITATION {"citationItems":[{"id":"ITEM-1","itemData":{"DOI":"10.1016/0738-3991(93)90114-C","ISSN":"07383991","abstract":"This study investigated patient and physician perceptions of their relationship and examined how their perceptions related to patient satisfaction. Data are based on 134 patient physician interactions. Study participants included 12 physicians (five women and seven men) and 134 male patients with a diagnosis of diabetes mellitus being seen on an outpatient basis. Information on patient and physician demographics, patient's metabolic control and functional status and time spent in the interaction were also collected. Results revealed that patients with lower levels of education were most satisfied and that physicians who viewed the relationship as a patient physician partnership had more satisfied patients than those who viewed the relationship as physician controlled. Findings also indicated that physicians' gender and number of years in practice were not related to patient satisfaction. Practical implications include: (1) increasing attention to physician's perceptions of his or her relationship with individual patients and (2) exposing newly trained physicians to partnership types of relationships, if future research confirms these findings in chronic disease management. © 1993.","author":[{"dropping-particle":"","family":"Anderson","given":"Lynda A.","non-dropping-particle":"","parse-names":false,"suffix":""},{"dropping-particle":"","family":"Zimmerman","given":"Marc A.","non-dropping-particle":"","parse-names":false,"suffix":""}],"container-title":"Patient Education and Counseling","id":"ITEM-1","issue":"1","issued":{"date-parts":[["1993"]]},"page":"27-36","title":"Patient and physician perceptions of their relationship and patient satisfaction: A study of chronic disease management","type":"article-journal","volume":"20"},"uris":["http://www.mendeley.com/documents/?uuid=dff16a12-8f6f-47ab-8793-1a5a5368ae55"]}],"mendeley":{"formattedCitation":"(Anderson and Zimmerman, 1993)","plainTextFormattedCitation":"(Anderson and Zimmerman, 1993)","previouslyFormattedCitation":"(Anderson and Zimmerman, 1993)"},"properties":{"noteIndex":0},"schema":"https://github.com/citation-style-language/schema/raw/master/csl-citation.json"}</w:instrText>
      </w:r>
      <w:r w:rsidRPr="0097670D">
        <w:rPr>
          <w:sz w:val="22"/>
          <w:szCs w:val="22"/>
        </w:rPr>
        <w:fldChar w:fldCharType="separate"/>
      </w:r>
      <w:r w:rsidRPr="0097670D">
        <w:rPr>
          <w:noProof/>
          <w:sz w:val="22"/>
          <w:szCs w:val="22"/>
        </w:rPr>
        <w:t>(Anderson and Zimmerman, 1993)</w:t>
      </w:r>
      <w:r w:rsidRPr="0097670D">
        <w:rPr>
          <w:sz w:val="22"/>
          <w:szCs w:val="22"/>
        </w:rPr>
        <w:fldChar w:fldCharType="end"/>
      </w:r>
      <w:r w:rsidRPr="0097670D">
        <w:rPr>
          <w:sz w:val="22"/>
          <w:szCs w:val="22"/>
        </w:rPr>
        <w:t>, a new medical practice called patient-centred care was conceptualized.</w:t>
      </w:r>
      <w:r w:rsidR="00016761" w:rsidRPr="0097670D">
        <w:rPr>
          <w:sz w:val="22"/>
          <w:szCs w:val="22"/>
        </w:rPr>
        <w:t xml:space="preserve"> </w:t>
      </w:r>
      <w:r w:rsidR="00016761" w:rsidRPr="0097670D">
        <w:rPr>
          <w:sz w:val="22"/>
          <w:szCs w:val="22"/>
        </w:rPr>
        <w:lastRenderedPageBreak/>
        <w:fldChar w:fldCharType="begin" w:fldLock="1"/>
      </w:r>
      <w:r w:rsidR="00016761" w:rsidRPr="0097670D">
        <w:rPr>
          <w:sz w:val="22"/>
          <w:szCs w:val="22"/>
        </w:rPr>
        <w:instrText>ADDIN CSL_CITATION {"citationItems":[{"id":"ITEM-1","itemData":{"DOI":"10.1016/j.socscimed.2005.02.001","ISSN":"02779536","abstract":"The goal of patient-centered communication (PCC) is to help practitioners provide care that is concordant with the patient's values, needs and preferences, and that allows patients to provide input and participate actively in decisions regarding their health and health care. PCC is widely endorsed as a central component of high-quality health care, but it is unclear what it is and how to measure it. PCC includes four communication domains: the patient's perspective, the psychosocial context, shared understanding, and sharing power and responsibility. Problems in measuring PCC include lack of theoretical and conceptual clarity, unexamined assumptions, lack of adequate control for patient characteristics and social contexts, modest correlations between survey and observational measures, and overlap of PCC with other constructs. We outline problems in operationalizing PCC, choosing tools for assessing PCC, choosing data sources, identifying mediators of PCC, and clarifying outcomes of PCC. We propose nine areas for improvement: (1) developing theory-based operational definitions of PCC; (2) clarifying what is being measured; (3) accounting for the communication behaviors of each individual in the encounter as well as interactions among them; (4) accounting for context; (5) validating of instruments; (6) interpreting patient ratings of their physicians; (7) doing longitudinal studies; (8) examining pathways and mediators of links between PCC and outcomes; and (9) dealing with the complexity of the construct of PCC. We discuss the use of observational and survey measures, multi-method and mixed-method research, and standardized patients. The increasing influence of the PCC literature to guide medical education, licensure of clinicians, and assessments of quality provides a strong rationale for further clarification of these measurement issues. © 2005 Elsevier Ltd. All rights reserved.","author":[{"dropping-particle":"","family":"Epstein","given":"Ronald M.","non-dropping-particle":"","parse-names":false,"suffix":""},{"dropping-particle":"","family":"Franks","given":"Peter","non-dropping-particle":"","parse-names":false,"suffix":""},{"dropping-particle":"","family":"Fiscella","given":"Kevin","non-dropping-particle":"","parse-names":false,"suffix":""},{"dropping-particle":"","family":"Shields","given":"Cleveland G.","non-dropping-particle":"","parse-names":false,"suffix":""},{"dropping-particle":"","family":"Meldrum","given":"Sean C.","non-dropping-particle":"","parse-names":false,"suffix":""},{"dropping-particle":"","family":"Kravitz","given":"Richard L.","non-dropping-particle":"","parse-names":false,"suffix":""},{"dropping-particle":"","family":"Duberstein","given":"Paul R.","non-dropping-particle":"","parse-names":false,"suffix":""}],"container-title":"Social Science and Medicine","id":"ITEM-1","issue":"7","issued":{"date-parts":[["2005"]]},"page":"1516-1528","title":"Measuring patient-centered communication in Patient-Physician consultations: Theoretical and practical issues","type":"article-journal","volume":"61"},"uris":["http://www.mendeley.com/documents/?uuid=a51e8cb8-1933-4d3a-94e8-b694ff491402"]}],"mendeley":{"formattedCitation":"(Epstein et al., 2005)","manualFormatting":"Epstein et al. (2005)","plainTextFormattedCitation":"(Epstein et al., 2005)","previouslyFormattedCitation":"(Epstein et al., 2005)"},"properties":{"noteIndex":0},"schema":"https://github.com/citation-style-language/schema/raw/master/csl-citation.json"}</w:instrText>
      </w:r>
      <w:r w:rsidR="00016761" w:rsidRPr="0097670D">
        <w:rPr>
          <w:sz w:val="22"/>
          <w:szCs w:val="22"/>
        </w:rPr>
        <w:fldChar w:fldCharType="separate"/>
      </w:r>
      <w:r w:rsidR="00016761" w:rsidRPr="0097670D">
        <w:rPr>
          <w:noProof/>
          <w:sz w:val="22"/>
          <w:szCs w:val="22"/>
        </w:rPr>
        <w:t xml:space="preserve">Epstein </w:t>
      </w:r>
      <w:r w:rsidR="00016761" w:rsidRPr="0097670D">
        <w:rPr>
          <w:i/>
          <w:iCs/>
          <w:noProof/>
          <w:sz w:val="22"/>
          <w:szCs w:val="22"/>
        </w:rPr>
        <w:t>et al.</w:t>
      </w:r>
      <w:r w:rsidR="00016761" w:rsidRPr="0097670D">
        <w:rPr>
          <w:noProof/>
          <w:sz w:val="22"/>
          <w:szCs w:val="22"/>
        </w:rPr>
        <w:t xml:space="preserve"> (2005)</w:t>
      </w:r>
      <w:r w:rsidR="00016761" w:rsidRPr="0097670D">
        <w:rPr>
          <w:sz w:val="22"/>
          <w:szCs w:val="22"/>
        </w:rPr>
        <w:fldChar w:fldCharType="end"/>
      </w:r>
      <w:r w:rsidR="00016761" w:rsidRPr="0097670D">
        <w:rPr>
          <w:sz w:val="22"/>
          <w:szCs w:val="22"/>
        </w:rPr>
        <w:t xml:space="preserve"> identified </w:t>
      </w:r>
      <w:r w:rsidRPr="0097670D">
        <w:rPr>
          <w:sz w:val="22"/>
          <w:szCs w:val="22"/>
        </w:rPr>
        <w:t>three core values of patient-centeredness</w:t>
      </w:r>
      <w:r w:rsidR="00016761" w:rsidRPr="0097670D">
        <w:rPr>
          <w:sz w:val="22"/>
          <w:szCs w:val="22"/>
        </w:rPr>
        <w:t>:</w:t>
      </w:r>
      <w:r w:rsidRPr="0097670D">
        <w:rPr>
          <w:sz w:val="22"/>
          <w:szCs w:val="22"/>
        </w:rPr>
        <w:t xml:space="preserve"> (1) considering patients’ needs, wants, perspectives, and individual experiences; (2) offering patients opportunities to provide inputs and participate in their care; and (3) enhancing partnerships and understanding in the patient–physician relationship.</w:t>
      </w:r>
    </w:p>
    <w:p w14:paraId="4C8871C3" w14:textId="59AC607E" w:rsidR="002147D8" w:rsidRPr="0097670D" w:rsidRDefault="00890C24">
      <w:pPr>
        <w:spacing w:line="480" w:lineRule="auto"/>
        <w:ind w:firstLine="284"/>
        <w:jc w:val="both"/>
        <w:rPr>
          <w:sz w:val="22"/>
          <w:szCs w:val="22"/>
        </w:rPr>
      </w:pPr>
      <w:bookmarkStart w:id="8" w:name="_Hlk61348341"/>
      <w:r w:rsidRPr="0097670D">
        <w:rPr>
          <w:sz w:val="22"/>
          <w:szCs w:val="22"/>
        </w:rPr>
        <w:t xml:space="preserve">The advent of so-called evidence-based medicine </w:t>
      </w:r>
      <w:r w:rsidRPr="0097670D">
        <w:rPr>
          <w:sz w:val="22"/>
          <w:szCs w:val="22"/>
        </w:rPr>
        <w:fldChar w:fldCharType="begin" w:fldLock="1"/>
      </w:r>
      <w:r w:rsidRPr="0097670D">
        <w:rPr>
          <w:sz w:val="22"/>
          <w:szCs w:val="22"/>
        </w:rPr>
        <w:instrText>ADDIN CSL_CITATION {"citationItems":[{"id":"ITEM-1","itemData":{"DOI":"10.1016/B978-0-12-373932-2.00112-5","ISBN":"9780123739322","abstract":"This article explores the philosophical and ethical issues raised by evidence-based medicine (EBM). EBM is a process of searching and summarizing research evidence to guide the clinical care of patients. EBM developed as a method of identifying and integrating the best available current evidence about effectiveness, in order to avoid the use of harmful or ineffective interventions and to ensure the rapid uptake into practice of new and effective interventions. The impetus behind EBM is to provide a scientific basis for medical care, based on unbiased research methods - notably the randomized controlled trial - and to protect patients from harm, provide treatments that are safe and effective, and promote equity in access to effective treatments. EBM has been criticized for its overreliance upon the randomized controlled trial, for itself lacking a scientifically valid basis, and for ethical issues related to the production and use of research evidence.","author":[{"dropping-particle":"","family":"Evidence-Based Medicine Working Group","given":"","non-dropping-particle":"","parse-names":false,"suffix":""}],"container-title":"Journal of American Medical Association","id":"ITEM-1","issue":"17","issued":{"date-parts":[["1992"]]},"page":"2420-2425","title":"Evidence-based medicine. A new approach to teaching the practice of medicine.","type":"article-journal","volume":"268"},"uris":["http://www.mendeley.com/documents/?uuid=fcc00a24-4476-42fb-b9e2-8062a4b875a2"]}],"mendeley":{"formattedCitation":"(Evidence-Based Medicine Working Group, 1992)","plainTextFormattedCitation":"(Evidence-Based Medicine Working Group, 1992)","previouslyFormattedCitation":"(Evidence-Based Medicine Working Group, 1992)"},"properties":{"noteIndex":0},"schema":"https://github.com/citation-style-language/schema/raw/master/csl-citation.json"}</w:instrText>
      </w:r>
      <w:r w:rsidRPr="0097670D">
        <w:rPr>
          <w:sz w:val="22"/>
          <w:szCs w:val="22"/>
        </w:rPr>
        <w:fldChar w:fldCharType="separate"/>
      </w:r>
      <w:r w:rsidRPr="0097670D">
        <w:rPr>
          <w:noProof/>
          <w:sz w:val="22"/>
          <w:szCs w:val="22"/>
        </w:rPr>
        <w:t>(Evidence-Based Medicine Working Group, 1992)</w:t>
      </w:r>
      <w:r w:rsidRPr="0097670D">
        <w:rPr>
          <w:sz w:val="22"/>
          <w:szCs w:val="22"/>
        </w:rPr>
        <w:fldChar w:fldCharType="end"/>
      </w:r>
      <w:r w:rsidRPr="0097670D">
        <w:rPr>
          <w:sz w:val="22"/>
          <w:szCs w:val="22"/>
        </w:rPr>
        <w:t xml:space="preserve">, which asks physicians to ground their clinical practices and medical decisions in the critical evaluation of empirical evidence from clinical cases, somehow represented a milestone in the evolution of the patient–physician relationship </w:t>
      </w:r>
      <w:r w:rsidRPr="0097670D">
        <w:rPr>
          <w:sz w:val="22"/>
          <w:szCs w:val="22"/>
        </w:rPr>
        <w:fldChar w:fldCharType="begin" w:fldLock="1"/>
      </w:r>
      <w:r w:rsidRPr="0097670D">
        <w:rPr>
          <w:sz w:val="22"/>
          <w:szCs w:val="22"/>
        </w:rPr>
        <w:instrText>ADDIN CSL_CITATION {"citationItems":[{"id":"ITEM-1","itemData":{"author":[{"dropping-particle":"","family":"Glass","given":"Richard M.","non-dropping-particle":"","parse-names":false,"suffix":""}],"container-title":"Journal of American Medical Association","id":"ITEM-1","issue":"2","issued":{"date-parts":[["1996"]]},"page":"147-148","title":"Patient-Physician Relationship","type":"article-journal","volume":"275"},"uris":["http://www.mendeley.com/documents/?uuid=3bfdafa4-a47e-4c81-a880-270eb5f8e384"]}],"mendeley":{"formattedCitation":"(Glass, 1996)","plainTextFormattedCitation":"(Glass, 1996)","previouslyFormattedCitation":"(Glass, 1996)"},"properties":{"noteIndex":0},"schema":"https://github.com/citation-style-language/schema/raw/master/csl-citation.json"}</w:instrText>
      </w:r>
      <w:r w:rsidRPr="0097670D">
        <w:rPr>
          <w:sz w:val="22"/>
          <w:szCs w:val="22"/>
        </w:rPr>
        <w:fldChar w:fldCharType="separate"/>
      </w:r>
      <w:r w:rsidRPr="0097670D">
        <w:rPr>
          <w:noProof/>
          <w:sz w:val="22"/>
          <w:szCs w:val="22"/>
        </w:rPr>
        <w:t>(Glass, 1996)</w:t>
      </w:r>
      <w:r w:rsidRPr="0097670D">
        <w:rPr>
          <w:sz w:val="22"/>
          <w:szCs w:val="22"/>
        </w:rPr>
        <w:fldChar w:fldCharType="end"/>
      </w:r>
      <w:r w:rsidRPr="0097670D">
        <w:rPr>
          <w:sz w:val="22"/>
          <w:szCs w:val="22"/>
        </w:rPr>
        <w:t xml:space="preserve">. </w:t>
      </w:r>
      <w:bookmarkStart w:id="9" w:name="_Hlk61284095"/>
      <w:r w:rsidRPr="0097670D">
        <w:rPr>
          <w:sz w:val="22"/>
          <w:szCs w:val="22"/>
        </w:rPr>
        <w:t xml:space="preserve">In fact, it has been demonstrated by </w:t>
      </w:r>
      <w:r w:rsidRPr="0097670D">
        <w:rPr>
          <w:sz w:val="22"/>
          <w:szCs w:val="22"/>
        </w:rPr>
        <w:fldChar w:fldCharType="begin" w:fldLock="1"/>
      </w:r>
      <w:r w:rsidRPr="0097670D">
        <w:rPr>
          <w:sz w:val="22"/>
          <w:szCs w:val="22"/>
        </w:rPr>
        <w:instrText>ADDIN CSL_CITATION {"citationItems":[{"id":"ITEM-1","itemData":{"DOI":"10.1177/1355819617707224","ISSN":"17581060","abstract":"Objective: To identify the prevalence of the practice of defensive medicine among Italian hospital physicians, its costs and the reasons for practising defensive medicine and possible solutions to reduce the practice of defensive medicine. Methods: Cross-sectional web survey. Main outcome measures: Number of physicians reporting having engaged in any defensive medicine behaviour in the previous year. Results: A total of 1313 physicians completed the survey. Ninety-five per cent believed that defensive medicine would increase in the near future. The practice of defensive medicine accounted for approximately 10% of total annual Italian national health expenditure. Conclusions: Defensive medicine is a significant factor in health care costs without adding any benefit to patients. The economic burden of defensive medicine on health care systems should provide a substantial stimulus for a prompt review of this situation in a time of economic crisis. Malpractice reform, together with a systematic use of evidence-based clinical guidelines, is likely to be the most effective way to reduce defensive medicine.","author":[{"dropping-particle":"","family":"Panella","given":"Massimiliano","non-dropping-particle":"","parse-names":false,"suffix":""},{"dropping-particle":"","family":"Rinaldi","given":"Carmela","non-dropping-particle":"","parse-names":false,"suffix":""},{"dropping-particle":"","family":"Leigheb","given":"Fabrizio","non-dropping-particle":"","parse-names":false,"suffix":""},{"dropping-particle":"","family":"Knesse","given":"Sanita","non-dropping-particle":"","parse-names":false,"suffix":""},{"dropping-particle":"","family":"Donnarumma","given":"Chiara","non-dropping-particle":"","parse-names":false,"suffix":""},{"dropping-particle":"","family":"Kul","given":"Seval","non-dropping-particle":"","parse-names":false,"suffix":""},{"dropping-particle":"","family":"Vanhaecht","given":"Kris","non-dropping-particle":"","parse-names":false,"suffix":""},{"dropping-particle":"","family":"Stanislao","given":"Francesco","non-dropping-particle":"Di","parse-names":false,"suffix":""}],"container-title":"Journal of Health Services Research and Policy","id":"ITEM-1","issue":"4","issued":{"date-parts":[["2017"]]},"page":"211-217","title":"Prevalence and costs of defensive medicine: A national survey of Italian physicians","type":"article-journal","volume":"22"},"uris":["http://www.mendeley.com/documents/?uuid=1fe83151-3bd5-48b2-a14d-913eda340123"]}],"mendeley":{"formattedCitation":"(Panella et al., 2017)","manualFormatting":"Panella et al. (2017)","plainTextFormattedCitation":"(Panella et al., 2017)","previouslyFormattedCitation":"(Panella et al., 2017)"},"properties":{"noteIndex":0},"schema":"https://github.com/citation-style-language/schema/raw/master/csl-citation.json"}</w:instrText>
      </w:r>
      <w:r w:rsidRPr="0097670D">
        <w:rPr>
          <w:sz w:val="22"/>
          <w:szCs w:val="22"/>
        </w:rPr>
        <w:fldChar w:fldCharType="separate"/>
      </w:r>
      <w:r w:rsidRPr="0097670D">
        <w:rPr>
          <w:noProof/>
          <w:sz w:val="22"/>
          <w:szCs w:val="22"/>
        </w:rPr>
        <w:t xml:space="preserve">Panella </w:t>
      </w:r>
      <w:r w:rsidRPr="0097670D">
        <w:rPr>
          <w:i/>
          <w:iCs/>
          <w:noProof/>
          <w:sz w:val="22"/>
          <w:szCs w:val="22"/>
        </w:rPr>
        <w:t>et al.</w:t>
      </w:r>
      <w:r w:rsidRPr="0097670D">
        <w:rPr>
          <w:noProof/>
          <w:sz w:val="22"/>
          <w:szCs w:val="22"/>
        </w:rPr>
        <w:t xml:space="preserve"> (2017)</w:t>
      </w:r>
      <w:r w:rsidRPr="0097670D">
        <w:rPr>
          <w:sz w:val="22"/>
          <w:szCs w:val="22"/>
        </w:rPr>
        <w:fldChar w:fldCharType="end"/>
      </w:r>
      <w:r w:rsidRPr="0097670D">
        <w:rPr>
          <w:sz w:val="22"/>
          <w:szCs w:val="22"/>
        </w:rPr>
        <w:t xml:space="preserve"> that one of the best strategies to dampen the phenomenon of defensive medicine is through the systematic use of evidence-based medicine, together with better communication with patients and their families. This is because, by anchoring medical choices to previous scientific studies (and communicating this to patients), physicians’ self-confidence about their conduct increases, making them more relaxed in the relationship with the patient, and the </w:t>
      </w:r>
      <w:r w:rsidR="00C23A29" w:rsidRPr="0097670D">
        <w:rPr>
          <w:sz w:val="22"/>
          <w:szCs w:val="22"/>
        </w:rPr>
        <w:t>comfort</w:t>
      </w:r>
      <w:r w:rsidRPr="0097670D">
        <w:rPr>
          <w:sz w:val="22"/>
          <w:szCs w:val="22"/>
        </w:rPr>
        <w:t xml:space="preserve"> of the patient increases, making them more likely to have faith in the physician </w:t>
      </w:r>
      <w:r w:rsidRPr="0097670D">
        <w:rPr>
          <w:sz w:val="22"/>
          <w:szCs w:val="22"/>
        </w:rPr>
        <w:fldChar w:fldCharType="begin" w:fldLock="1"/>
      </w:r>
      <w:r w:rsidRPr="0097670D">
        <w:rPr>
          <w:sz w:val="22"/>
          <w:szCs w:val="22"/>
        </w:rPr>
        <w:instrText>ADDIN CSL_CITATION {"citationItems":[{"id":"ITEM-1","itemData":{"DOI":"10.3748/wjg.v12.i47.7671","ISSN":"10079327","PMID":"17171798","abstract":"Aim: To clarify the prevalence of defensive medicine and the specific defensive medicine practices among gastroenterologists in Japan. Methods: A survey of gastroenterologists in Hiroshima, Japan, was conducted by mail in March 2006. The number of gastroenterologists reporting defensive medicine behaviors or changes in their scope of practice and the reported defensive medicine practices, i.e., assurance and avoidance behaviors, were examined. Results: A total of 131 (77%) out of 171 gastroenterologists completed the survey. Three (2%) respondents were sued, and most respondents (96%) had liability insurance. Nearly all respondents (98%) reported practicing defensive medicine. Avoidance behaviors, such as avoiding certain procedures or interventions and avoiding caring for high-risk patients, were very common (96%). Seventy-five percent of respondents reported often avoiding certain procedures or interventions. However, seasoned gastroenterologists (those in practice for more than 20 years) adopted avoidance behaviors significantly less often than those in practice for less than 10 years. Assurance behaviors, i.e., supplying additional services of marginal or no medical value, were also widespread (91%). Sixty-eight percent of respondents reported that they sometimes or often referred patients to other specialists unnecessarily. Conclusion: Defensive medicine may be highly prevalent among gastroenterologists throughout Japan, with potentially serious implications regarding costs, access, and both technical and interpersonal quality of care. © 2006 The WJG Press. All rights reserved.","author":[{"dropping-particle":"","family":"Hiyama","given":"Toru","non-dropping-particle":"","parse-names":false,"suffix":""},{"dropping-particle":"","family":"Yoshihara","given":"Masaharu","non-dropping-particle":"","parse-names":false,"suffix":""},{"dropping-particle":"","family":"Tanaka","given":"Shinji","non-dropping-particle":"","parse-names":false,"suffix":""},{"dropping-particle":"","family":"Urabe","given":"Yuji","non-dropping-particle":"","parse-names":false,"suffix":""},{"dropping-particle":"","family":"Ikegami","given":"Yoshihiko","non-dropping-particle":"","parse-names":false,"suffix":""},{"dropping-particle":"","family":"Fukuhara","given":"Tatsuma","non-dropping-particle":"","parse-names":false,"suffix":""},{"dropping-particle":"","family":"Chayama","given":"Kazuaki","non-dropping-particle":"","parse-names":false,"suffix":""}],"container-title":"World Journal of Gastroenterology","id":"ITEM-1","issue":"47","issued":{"date-parts":[["2006"]]},"page":"7671-7675","title":"Defensive medicine practices among gastroenterologists in Japan","type":"article-journal","volume":"12"},"uris":["http://www.mendeley.com/documents/?uuid=5865d4c4-c634-4cce-ba4e-bc4ece2d7614"]}],"mendeley":{"formattedCitation":"(Hiyama et al., 2006)","plainTextFormattedCitation":"(Hiyama et al., 2006)","previouslyFormattedCitation":"(Hiyama et al., 2006)"},"properties":{"noteIndex":0},"schema":"https://github.com/citation-style-language/schema/raw/master/csl-citation.json"}</w:instrText>
      </w:r>
      <w:r w:rsidRPr="0097670D">
        <w:rPr>
          <w:sz w:val="22"/>
          <w:szCs w:val="22"/>
        </w:rPr>
        <w:fldChar w:fldCharType="separate"/>
      </w:r>
      <w:r w:rsidRPr="0097670D">
        <w:rPr>
          <w:noProof/>
          <w:sz w:val="22"/>
          <w:szCs w:val="22"/>
        </w:rPr>
        <w:t xml:space="preserve">(Hiyama </w:t>
      </w:r>
      <w:r w:rsidRPr="0097670D">
        <w:rPr>
          <w:i/>
          <w:iCs/>
          <w:noProof/>
          <w:sz w:val="22"/>
          <w:szCs w:val="22"/>
        </w:rPr>
        <w:t>et al.</w:t>
      </w:r>
      <w:r w:rsidRPr="0097670D">
        <w:rPr>
          <w:noProof/>
          <w:sz w:val="22"/>
          <w:szCs w:val="22"/>
        </w:rPr>
        <w:t>, 2006)</w:t>
      </w:r>
      <w:r w:rsidRPr="0097670D">
        <w:rPr>
          <w:sz w:val="22"/>
          <w:szCs w:val="22"/>
        </w:rPr>
        <w:fldChar w:fldCharType="end"/>
      </w:r>
      <w:r w:rsidRPr="0097670D">
        <w:rPr>
          <w:sz w:val="22"/>
          <w:szCs w:val="22"/>
        </w:rPr>
        <w:t xml:space="preserve">. </w:t>
      </w:r>
    </w:p>
    <w:bookmarkEnd w:id="8"/>
    <w:bookmarkEnd w:id="9"/>
    <w:p w14:paraId="29812886" w14:textId="32A13C27" w:rsidR="002147D8" w:rsidRPr="0097670D" w:rsidRDefault="00890C24">
      <w:pPr>
        <w:spacing w:line="480" w:lineRule="auto"/>
        <w:ind w:firstLine="284"/>
        <w:jc w:val="both"/>
        <w:rPr>
          <w:sz w:val="22"/>
          <w:szCs w:val="22"/>
          <w:highlight w:val="yellow"/>
        </w:rPr>
      </w:pPr>
      <w:r w:rsidRPr="0097670D">
        <w:rPr>
          <w:sz w:val="22"/>
          <w:szCs w:val="22"/>
        </w:rPr>
        <w:t xml:space="preserve">Referring back to empathy, physicians associate it with benevolent emotions and developing a shared understanding with patients. Many articles discuss the difference between cognitive and emotional empathy in medical practices </w:t>
      </w:r>
      <w:r w:rsidRPr="0097670D">
        <w:rPr>
          <w:sz w:val="22"/>
          <w:szCs w:val="22"/>
        </w:rPr>
        <w:fldChar w:fldCharType="begin" w:fldLock="1"/>
      </w:r>
      <w:r w:rsidRPr="0097670D">
        <w:rPr>
          <w:sz w:val="22"/>
          <w:szCs w:val="22"/>
        </w:rPr>
        <w:instrText>ADDIN CSL_CITATION {"citationItems":[{"id":"ITEM-1","itemData":{"DOI":"10.1007/s11606-006-0102-3","ISSN":"08848734","abstract":"Physicians associate empathy with benevolent emotions and with developing a shared understanding with patients. While there have been many articles on managing \"difficult\" patients, little attention has been paid to the challenges physicians face during conflicts with patients, especially when both parties are angry and yet empathy is still needed. This topic is especially important in light of recent studies showing that practicing medicine increasingly requires physicians to manage their own feelings of anger and frustration. This article seeks to describe how physicians can learn to empathize with patients even when they are both subject to emotions that lead to interpersonal distancing. Empathy is defined as engaged curiosity about another's particular emotional perspective. Five specific ways for physicians to foster empathy during conflict are described: recognizing one's own emotions, attending to negative emotions over time, attuning to patients' verbal and nonverbal emotional messages, and becoming receptive to negative feedback. Importantly, physicians who learn to empathize with patients during emotionally charged interactions can reduce anger and frustration and also increase their therapeutic impact. © 2007 Society of General Internal Medicine.","author":[{"dropping-particle":"","family":"Halpern","given":"Jodi","non-dropping-particle":"","parse-names":false,"suffix":""}],"container-title":"Journal of General Internal Medicine","id":"ITEM-1","issue":"5","issued":{"date-parts":[["2007"]]},"page":"696-700","title":"Empathy and patient-physician conflicts","type":"article-journal","volume":"22"},"uris":["http://www.mendeley.com/documents/?uuid=90c13a83-2d16-4027-b211-6b363ecd8f71"]},{"id":"ITEM-2","itemData":{"DOI":"10.1001/jama.293.9.1100","ISSN":"00987484","abstract":"Empathy should characterize all health care professions. Despite advancement in medical technology, the healing relationship between physicians and patients remains essential to quality care. We propose that physicians consider empathy as emotional labor (ie, management of experienced and displayed emotions to present a certain image). Since the publication of Hochschild's The Managed Heart in 1983, researchers in management and organization behavior have been studying emotional labor by service workers, such as flight attendants and bill collectors. In this article, we focus on physicians as professionals who are expected to be empathic caregivers. They engage in such emotional labor through deep acting (ie, generating empathy-consistent emotional and cognitive reactions before and during empathic interactions with the patient, similar to the method-acting tradition used by some stage and screen actors), surface acting (ie, forging empathic behaviors toward the patient, absent of consistent emotional and cognitive reactions), or both. Although deep acting is preferred, physicians may rely on surface acting when immediate emotional and cognitive understanding of patients is impossible. Overall, we contend that physicians are more effective healers - and enjoy more professional satisfaction - when they engage in the process of empathy. We urge physicians first to recognize that their work has an element of emotional labor and, second, to consciously practice deep and surface acting to empathize with their patients. Medical students and residents can benefit from long-term regular training that includes conscious efforts to develop their empathic abilities. This will be valuable for both physicians and patients facing the increasingly fragmented and technological world of modern medicine.","author":[{"dropping-particle":"","family":"Larson","given":"Eric B.","non-dropping-particle":"","parse-names":false,"suffix":""},{"dropping-particle":"","family":"Yao","given":"Xin","non-dropping-particle":"","parse-names":false,"suffix":""}],"container-title":"Journal of the American Medical Association","id":"ITEM-2","issue":"9","issued":{"date-parts":[["2005"]]},"page":"1100-1106","title":"Clinical empathy as emotional labor in the patient-physician relationship","type":"article-journal","volume":"293"},"uris":["http://www.mendeley.com/documents/?uuid=d5314e22-2736-4995-b14a-3a91db55911f"]}],"mendeley":{"formattedCitation":"(Halpern, 2007; Larson and Yao, 2005)","plainTextFormattedCitation":"(Halpern, 2007; Larson and Yao, 2005)","previouslyFormattedCitation":"(Halpern, 2007; Larson and Yao, 2005)"},"properties":{"noteIndex":0},"schema":"https://github.com/citation-style-language/schema/raw/master/csl-citation.json"}</w:instrText>
      </w:r>
      <w:r w:rsidRPr="0097670D">
        <w:rPr>
          <w:sz w:val="22"/>
          <w:szCs w:val="22"/>
        </w:rPr>
        <w:fldChar w:fldCharType="separate"/>
      </w:r>
      <w:r w:rsidRPr="0097670D">
        <w:rPr>
          <w:noProof/>
          <w:sz w:val="22"/>
          <w:szCs w:val="22"/>
        </w:rPr>
        <w:t>(Halpern, 2007; Larson and Yao, 2005)</w:t>
      </w:r>
      <w:r w:rsidRPr="0097670D">
        <w:rPr>
          <w:sz w:val="22"/>
          <w:szCs w:val="22"/>
        </w:rPr>
        <w:fldChar w:fldCharType="end"/>
      </w:r>
      <w:r w:rsidRPr="0097670D">
        <w:rPr>
          <w:sz w:val="22"/>
          <w:szCs w:val="22"/>
        </w:rPr>
        <w:t xml:space="preserve">. For a deontological reason, medicine should not be affected by emotions since the health of the patient holds priority, but empathy can have positive effects on the patient–physician relationship in some cases and, consequently, on the medical practices as well. Managing ‘problematic’ people represents an example. Conflicts can occur between physicians and their patients, especially when both parties are angry, and yet empathy is needed </w:t>
      </w:r>
      <w:r w:rsidRPr="0097670D">
        <w:rPr>
          <w:sz w:val="22"/>
          <w:szCs w:val="22"/>
        </w:rPr>
        <w:fldChar w:fldCharType="begin" w:fldLock="1"/>
      </w:r>
      <w:r w:rsidRPr="0097670D">
        <w:rPr>
          <w:sz w:val="22"/>
          <w:szCs w:val="22"/>
        </w:rPr>
        <w:instrText>ADDIN CSL_CITATION {"citationItems":[{"id":"ITEM-1","itemData":{"DOI":"10.1007/s11606-006-0102-3","ISSN":"08848734","abstract":"Physicians associate empathy with benevolent emotions and with developing a shared understanding with patients. While there have been many articles on managing \"difficult\" patients, little attention has been paid to the challenges physicians face during conflicts with patients, especially when both parties are angry and yet empathy is still needed. This topic is especially important in light of recent studies showing that practicing medicine increasingly requires physicians to manage their own feelings of anger and frustration. This article seeks to describe how physicians can learn to empathize with patients even when they are both subject to emotions that lead to interpersonal distancing. Empathy is defined as engaged curiosity about another's particular emotional perspective. Five specific ways for physicians to foster empathy during conflict are described: recognizing one's own emotions, attending to negative emotions over time, attuning to patients' verbal and nonverbal emotional messages, and becoming receptive to negative feedback. Importantly, physicians who learn to empathize with patients during emotionally charged interactions can reduce anger and frustration and also increase their therapeutic impact. © 2007 Society of General Internal Medicine.","author":[{"dropping-particle":"","family":"Halpern","given":"Jodi","non-dropping-particle":"","parse-names":false,"suffix":""}],"container-title":"Journal of General Internal Medicine","id":"ITEM-1","issue":"5","issued":{"date-parts":[["2007"]]},"page":"696-700","title":"Empathy and patient-physician conflicts","type":"article-journal","volume":"22"},"uris":["http://www.mendeley.com/documents/?uuid=90c13a83-2d16-4027-b211-6b363ecd8f71"]}],"mendeley":{"formattedCitation":"(Halpern, 2007)","plainTextFormattedCitation":"(Halpern, 2007)","previouslyFormattedCitation":"(Halpern, 2007)"},"properties":{"noteIndex":0},"schema":"https://github.com/citation-style-language/schema/raw/master/csl-citation.json"}</w:instrText>
      </w:r>
      <w:r w:rsidRPr="0097670D">
        <w:rPr>
          <w:sz w:val="22"/>
          <w:szCs w:val="22"/>
        </w:rPr>
        <w:fldChar w:fldCharType="separate"/>
      </w:r>
      <w:r w:rsidRPr="0097670D">
        <w:rPr>
          <w:noProof/>
          <w:sz w:val="22"/>
          <w:szCs w:val="22"/>
        </w:rPr>
        <w:t>(Halpern, 2007)</w:t>
      </w:r>
      <w:r w:rsidRPr="0097670D">
        <w:rPr>
          <w:sz w:val="22"/>
          <w:szCs w:val="22"/>
        </w:rPr>
        <w:fldChar w:fldCharType="end"/>
      </w:r>
      <w:r w:rsidRPr="0097670D">
        <w:rPr>
          <w:sz w:val="22"/>
          <w:szCs w:val="22"/>
        </w:rPr>
        <w:t>.</w:t>
      </w:r>
    </w:p>
    <w:p w14:paraId="5AFC589F" w14:textId="329CADC7" w:rsidR="002147D8" w:rsidRPr="0097670D" w:rsidRDefault="00890C24">
      <w:pPr>
        <w:spacing w:line="480" w:lineRule="auto"/>
        <w:ind w:firstLine="284"/>
        <w:jc w:val="both"/>
        <w:rPr>
          <w:sz w:val="22"/>
          <w:szCs w:val="22"/>
        </w:rPr>
      </w:pPr>
      <w:r w:rsidRPr="0097670D">
        <w:rPr>
          <w:sz w:val="22"/>
          <w:szCs w:val="22"/>
        </w:rPr>
        <w:t xml:space="preserve">Another important aspect that strongly influences the patient–physician relationship is trust </w:t>
      </w:r>
      <w:r w:rsidRPr="0097670D">
        <w:rPr>
          <w:sz w:val="22"/>
          <w:szCs w:val="22"/>
        </w:rPr>
        <w:fldChar w:fldCharType="begin" w:fldLock="1"/>
      </w:r>
      <w:r w:rsidRPr="0097670D">
        <w:rPr>
          <w:sz w:val="22"/>
          <w:szCs w:val="22"/>
        </w:rPr>
        <w:instrText>ADDIN CSL_CITATION {"citationItems":[{"id":"ITEM-1","itemData":{"author":[{"dropping-particle":"","family":"Thom","given":"David H.","non-dropping-particle":"","parse-names":false,"suffix":""},{"dropping-particle":"","family":"Campbell","given":"Bruce","non-dropping-particle":"","parse-names":false,"suffix":""}],"container-title":"Journal of Family Practice","id":"ITEM-1","issue":"2","issued":{"date-parts":[["1997"]]},"title":"Patient-physician trust: an exploratory study","type":"article-journal","volume":"44"},"uris":["http://www.mendeley.com/documents/?uuid=421e224f-39ed-4d94-9540-042896401211"]}],"mendeley":{"formattedCitation":"(Thom and Campbell, 1997)","plainTextFormattedCitation":"(Thom and Campbell, 1997)","previouslyFormattedCitation":"(Thom and Campbell, 1997)"},"properties":{"noteIndex":0},"schema":"https://github.com/citation-style-language/schema/raw/master/csl-citation.json"}</w:instrText>
      </w:r>
      <w:r w:rsidRPr="0097670D">
        <w:rPr>
          <w:sz w:val="22"/>
          <w:szCs w:val="22"/>
        </w:rPr>
        <w:fldChar w:fldCharType="separate"/>
      </w:r>
      <w:r w:rsidRPr="0097670D">
        <w:rPr>
          <w:noProof/>
          <w:sz w:val="22"/>
          <w:szCs w:val="22"/>
        </w:rPr>
        <w:t>(Thom and Campbell, 1997)</w:t>
      </w:r>
      <w:r w:rsidRPr="0097670D">
        <w:rPr>
          <w:sz w:val="22"/>
          <w:szCs w:val="22"/>
        </w:rPr>
        <w:fldChar w:fldCharType="end"/>
      </w:r>
      <w:r w:rsidRPr="0097670D">
        <w:rPr>
          <w:sz w:val="22"/>
          <w:szCs w:val="22"/>
        </w:rPr>
        <w:t xml:space="preserve">. Trust is enhanced when physicians make an effort to communicate clearly with their patients, understanding their problems and needs with the aim to establish a sort of partnership </w:t>
      </w:r>
      <w:r w:rsidRPr="0097670D">
        <w:rPr>
          <w:sz w:val="22"/>
          <w:szCs w:val="22"/>
        </w:rPr>
        <w:fldChar w:fldCharType="begin" w:fldLock="1"/>
      </w:r>
      <w:r w:rsidRPr="0097670D">
        <w:rPr>
          <w:sz w:val="22"/>
          <w:szCs w:val="22"/>
        </w:rPr>
        <w:instrText>ADDIN CSL_CITATION {"citationItems":[{"id":"ITEM-1","itemData":{"DOI":"10.1097/00005650-200411000-00003","ISSN":"00257079","PMID":"15586831","abstract":"Background: Patients' trust in their health care providers may affect their satisfaction and health outcomes. Despite the potential importance of trust, there are few studies of its correlates using objective measures of physician behavior during encounters with patients. Methods: We assessed physician behavior and length of visit using audio tapes of encounters of 2 unannounced standardized patients (SPs) with 100 community-based primary care physicians participating in a large managed care organization. Physician behavior was assessed via 3 components of the Measure of Patient-Centered Communication (MPCC) scale. The Primary Care Assessment Survey (PCAS) trust subscale was administered to 50 patients from each physician's practice and to SPs. We used multilevel modeling to examine the associations between physicians' Patient-Centered Communication during the SP visits and ratings of trust by both patients and SPs. Results: Component 1 of the MPCC, which explored the patient's experience of the disease and illness, was independently associated with patient's rating of trust in their physician. A 1 SD increase in this score was associated with 0.08 SD increase in trust (95% confidence interval 0.02-0.14). Each additional minute spent in SP visits was also independently associated with 0.01 SD increase in patient trust. (95% confidence interval 0.0001-0.02). Component 1 and visit length were also positively associated with SP trust ratings. Conclusions: Physician verbal behavior during an SP encounter is associated with trust reported by SPs and patients. Research is needed to determine whether interventions designed to enhance physicians' exploration patients' experiences of disease and illness improves trust.","author":[{"dropping-particle":"","family":"Fiscella","given":"Kevin","non-dropping-particle":"","parse-names":false,"suffix":""},{"dropping-particle":"","family":"Meldrum","given":"Sean","non-dropping-particle":"","parse-names":false,"suffix":""},{"dropping-particle":"","family":"Franks","given":"Peter","non-dropping-particle":"","parse-names":false,"suffix":""},{"dropping-particle":"","family":"Shields","given":"Cleveland G.","non-dropping-particle":"","parse-names":false,"suffix":""},{"dropping-particle":"","family":"Duberstein","given":"Paul","non-dropping-particle":"","parse-names":false,"suffix":""},{"dropping-particle":"","family":"McDaniel","given":"Susan H.","non-dropping-particle":"","parse-names":false,"suffix":""},{"dropping-particle":"","family":"Epstein","given":"Ronald M.","non-dropping-particle":"","parse-names":false,"suffix":""}],"container-title":"Medical Care","id":"ITEM-1","issue":"11","issued":{"date-parts":[["2004"]]},"page":"1049-1055","title":"Patient trust: Is it related to patient-centered behavior of primary care physicians?","type":"article-journal","volume":"42"},"uris":["http://www.mendeley.com/documents/?uuid=a83ae496-d78b-467a-b550-8ad82fe39722"]}],"mendeley":{"formattedCitation":"(Fiscella et al., 2004)","plainTextFormattedCitation":"(Fiscella et al., 2004)","previouslyFormattedCitation":"(Fiscella et al., 2004)"},"properties":{"noteIndex":0},"schema":"https://github.com/citation-style-language/schema/raw/master/csl-citation.json"}</w:instrText>
      </w:r>
      <w:r w:rsidRPr="0097670D">
        <w:rPr>
          <w:sz w:val="22"/>
          <w:szCs w:val="22"/>
        </w:rPr>
        <w:fldChar w:fldCharType="separate"/>
      </w:r>
      <w:r w:rsidRPr="0097670D">
        <w:rPr>
          <w:noProof/>
          <w:sz w:val="22"/>
          <w:szCs w:val="22"/>
        </w:rPr>
        <w:t xml:space="preserve">(Fiscella </w:t>
      </w:r>
      <w:r w:rsidRPr="0097670D">
        <w:rPr>
          <w:i/>
          <w:iCs/>
          <w:noProof/>
          <w:sz w:val="22"/>
          <w:szCs w:val="22"/>
        </w:rPr>
        <w:t>et al.</w:t>
      </w:r>
      <w:r w:rsidRPr="0097670D">
        <w:rPr>
          <w:noProof/>
          <w:sz w:val="22"/>
          <w:szCs w:val="22"/>
        </w:rPr>
        <w:t>, 2004)</w:t>
      </w:r>
      <w:r w:rsidRPr="0097670D">
        <w:rPr>
          <w:sz w:val="22"/>
          <w:szCs w:val="22"/>
        </w:rPr>
        <w:fldChar w:fldCharType="end"/>
      </w:r>
      <w:r w:rsidRPr="0097670D">
        <w:rPr>
          <w:sz w:val="22"/>
          <w:szCs w:val="22"/>
        </w:rPr>
        <w:t xml:space="preserve">. Engaged physicians communicate more effectively, </w:t>
      </w:r>
      <w:r w:rsidRPr="0097670D">
        <w:rPr>
          <w:sz w:val="22"/>
          <w:szCs w:val="22"/>
        </w:rPr>
        <w:lastRenderedPageBreak/>
        <w:t xml:space="preserve">decreasing patient anxiety and improving patients’ compliance, leading to better outcomes </w:t>
      </w:r>
      <w:r w:rsidRPr="0097670D">
        <w:rPr>
          <w:sz w:val="22"/>
          <w:szCs w:val="22"/>
        </w:rPr>
        <w:fldChar w:fldCharType="begin" w:fldLock="1"/>
      </w:r>
      <w:r w:rsidRPr="0097670D">
        <w:rPr>
          <w:sz w:val="22"/>
          <w:szCs w:val="22"/>
        </w:rPr>
        <w:instrText>ADDIN CSL_CITATION {"citationItems":[{"id":"ITEM-1","itemData":{"ISSN":"08938652","PMID":"11841136","abstract":"Background: The physician-patient interview is the key component of all health care, particularly of primary medical care. This review sought to evaluate existing primary-care-based research studies to determine which verbal and nonverbal behaviors on the part of the physician during the medical encounter have been linked in empirical studies with favorable patient outcomes. Methods: We reviewed the literature from 1975 to 2000 for studies of office interactions between primary care physicians and patients that evaluated these interactions empirically using neutral observers who coded observed encounters, videotapes, or audiotapes. Each study was reviewed for the quality of the methods and to find statistically significant relations between specific physician behaviors and patient outcomes. In examining nonverbal behaviors, because of a paucity of clinical outcome studies, outcomes were expanded to include associations with patient characteristics or subjective ratings of the interaction by observers. Results: We found 14 studies of verbal communication and 8 studies of nonverbal communication that met inclusion criteria. Verbal behaviors positively associated with health outcomes included empathy, reassurance and support, various patient-centered questioning techniques, encounter length, history taking, explanations, both dominant and passive physician styles, positive reinforcement, humor, psychosocial talk, time in health education and information sharing, friendliness, courtesy, orienting the patient during examination, and summarization and clarification. Nonverbal behaviors positively associated with outcomes included head nodding, forward lean, direct body orientation, uncrossed legs and arms, arm symmetry, and less mutual gaze. Conclusion: Existing research is limited because of lack of consensus of what to measure, conflicting findings, and relative lack of empirical studies (especially of nonverbal behavior). Nonetheless, medical educators should focus on teaching and reinforcing behaviors known to be facilitative, and to continue to understand further how physician behavior can enhance favorable patient outcomes, such as understanding and adherence to medical regimens and overall satisfaction.","author":[{"dropping-particle":"","family":"Beck","given":"Rainer S.","non-dropping-particle":"","parse-names":false,"suffix":""},{"dropping-particle":"","family":"Daughtridge","given":"Rebecca","non-dropping-particle":"","parse-names":false,"suffix":""},{"dropping-particle":"","family":"Sloane","given":"Philip D.","non-dropping-particle":"","parse-names":false,"suffix":""}],"container-title":"Journal of the American Board of Family Practice","id":"ITEM-1","issue":"1","issued":{"date-parts":[["2002"]]},"page":"25-38","title":"Physician-patient communication in the primary care office: A systematic review","type":"article-journal","volume":"15"},"uris":["http://www.mendeley.com/documents/?uuid=19a3d795-b252-42dd-b816-950daf8ee507"]},{"id":"ITEM-2","itemData":{"DOI":"10.1007/s11606-006-0102-3","ISSN":"08848734","abstract":"Physicians associate empathy with benevolent emotions and with developing a shared understanding with patients. While there have been many articles on managing \"difficult\" patients, little attention has been paid to the challenges physicians face during conflicts with patients, especially when both parties are angry and yet empathy is still needed. This topic is especially important in light of recent studies showing that practicing medicine increasingly requires physicians to manage their own feelings of anger and frustration. This article seeks to describe how physicians can learn to empathize with patients even when they are both subject to emotions that lead to interpersonal distancing. Empathy is defined as engaged curiosity about another's particular emotional perspective. Five specific ways for physicians to foster empathy during conflict are described: recognizing one's own emotions, attending to negative emotions over time, attuning to patients' verbal and nonverbal emotional messages, and becoming receptive to negative feedback. Importantly, physicians who learn to empathize with patients during emotionally charged interactions can reduce anger and frustration and also increase their therapeutic impact. © 2007 Society of General Internal Medicine.","author":[{"dropping-particle":"","family":"Halpern","given":"Jodi","non-dropping-particle":"","parse-names":false,"suffix":""}],"container-title":"Journal of General Internal Medicine","id":"ITEM-2","issue":"5","issued":{"date-parts":[["2007"]]},"page":"696-700","title":"Empathy and patient-physician conflicts","type":"article-journal","volume":"22"},"uris":["http://www.mendeley.com/documents/?uuid=90c13a83-2d16-4027-b211-6b363ecd8f71"]}],"mendeley":{"formattedCitation":"(Beck et al., 2002; Halpern, 2007)","plainTextFormattedCitation":"(Beck et al., 2002; Halpern, 2007)","previouslyFormattedCitation":"(Beck et al., 2002; Halpern, 2007)"},"properties":{"noteIndex":0},"schema":"https://github.com/citation-style-language/schema/raw/master/csl-citation.json"}</w:instrText>
      </w:r>
      <w:r w:rsidRPr="0097670D">
        <w:rPr>
          <w:sz w:val="22"/>
          <w:szCs w:val="22"/>
        </w:rPr>
        <w:fldChar w:fldCharType="separate"/>
      </w:r>
      <w:r w:rsidRPr="0097670D">
        <w:rPr>
          <w:noProof/>
          <w:sz w:val="22"/>
          <w:szCs w:val="22"/>
        </w:rPr>
        <w:t xml:space="preserve">(Beck </w:t>
      </w:r>
      <w:r w:rsidRPr="0097670D">
        <w:rPr>
          <w:i/>
          <w:iCs/>
          <w:noProof/>
          <w:sz w:val="22"/>
          <w:szCs w:val="22"/>
        </w:rPr>
        <w:t>et al.</w:t>
      </w:r>
      <w:r w:rsidRPr="0097670D">
        <w:rPr>
          <w:noProof/>
          <w:sz w:val="22"/>
          <w:szCs w:val="22"/>
        </w:rPr>
        <w:t>, 2002; Halpern, 2007)</w:t>
      </w:r>
      <w:r w:rsidRPr="0097670D">
        <w:rPr>
          <w:sz w:val="22"/>
          <w:szCs w:val="22"/>
        </w:rPr>
        <w:fldChar w:fldCharType="end"/>
      </w:r>
      <w:r w:rsidRPr="0097670D">
        <w:rPr>
          <w:sz w:val="22"/>
          <w:szCs w:val="22"/>
        </w:rPr>
        <w:t>.</w:t>
      </w:r>
    </w:p>
    <w:p w14:paraId="1DE0B197" w14:textId="569BD5D6" w:rsidR="002147D8" w:rsidRPr="0097670D" w:rsidRDefault="00890C24">
      <w:pPr>
        <w:pStyle w:val="Corpotesto"/>
        <w:spacing w:before="0" w:line="480" w:lineRule="auto"/>
        <w:ind w:firstLine="284"/>
        <w:rPr>
          <w:sz w:val="22"/>
          <w:szCs w:val="22"/>
        </w:rPr>
      </w:pPr>
      <w:r w:rsidRPr="0097670D">
        <w:rPr>
          <w:sz w:val="22"/>
          <w:szCs w:val="22"/>
        </w:rPr>
        <w:t xml:space="preserve">Patient participation, even in medical decision-making, generally has positive effects on health outcomes, but this is not always possible or desirable because there are patients that prefer to let the physician decide freely according to their major expertise. A previous study has shown how, in cases where both physicians and patients share the same preference in terms of patient participation in the care process and decision-making, the latter’s satisfaction, adherence to the treatment, and health outcomes tend to be more positive </w:t>
      </w:r>
      <w:r w:rsidRPr="0097670D">
        <w:rPr>
          <w:sz w:val="22"/>
          <w:szCs w:val="22"/>
        </w:rPr>
        <w:fldChar w:fldCharType="begin" w:fldLock="1"/>
      </w:r>
      <w:r w:rsidRPr="0097670D">
        <w:rPr>
          <w:sz w:val="22"/>
          <w:szCs w:val="22"/>
        </w:rPr>
        <w:instrText>ADDIN CSL_CITATION {"citationItems":[{"id":"ITEM-1","itemData":{"DOI":"10.1016/j.pec.2004.08.006","ISSN":"07383991","abstract":"Patient participation in medical care and in decision-making is generally viewed as a precursor to positive health outcomes. Patient participation is not always possible or desirable, however, and not all patients want to take an active part in their own medical care. This study examines the degree to which physician-patient congruence in preference for patient involvement is related to self-reported satisfaction, adherence, and health. Results indicate that when patients and their doctors share similar beliefs about patient participation, patient outcomes tend to be more positive, with highest satisfaction found in cases in which both patient and physician desire more patient involvement. © 2004 Elsevier Ireland Ltd. All rights reserved.","author":[{"dropping-particle":"","family":"Jahng","given":"Kristina H.","non-dropping-particle":"","parse-names":false,"suffix":""},{"dropping-particle":"","family":"Martin","given":"Leslie R.","non-dropping-particle":"","parse-names":false,"suffix":""},{"dropping-particle":"","family":"Golin","given":"Carol E.","non-dropping-particle":"","parse-names":false,"suffix":""},{"dropping-particle":"","family":"DiMatteo","given":"M. Robin","non-dropping-particle":"","parse-names":false,"suffix":""}],"container-title":"Patient Education and Counseling","id":"ITEM-1","issue":"3","issued":{"date-parts":[["2005"]]},"page":"308-314","title":"Preferences for medical collaboration: Patient-physician congruence and patient outcomes","type":"article-journal","volume":"57"},"uris":["http://www.mendeley.com/documents/?uuid=3d86fe8a-4b75-4ecb-a341-35c5c1813bfe"]}],"mendeley":{"formattedCitation":"(Jahng et al., 2005)","plainTextFormattedCitation":"(Jahng et al., 2005)","previouslyFormattedCitation":"(Jahng et al., 2005)"},"properties":{"noteIndex":0},"schema":"https://github.com/citation-style-language/schema/raw/master/csl-citation.json"}</w:instrText>
      </w:r>
      <w:r w:rsidRPr="0097670D">
        <w:rPr>
          <w:sz w:val="22"/>
          <w:szCs w:val="22"/>
        </w:rPr>
        <w:fldChar w:fldCharType="separate"/>
      </w:r>
      <w:r w:rsidRPr="0097670D">
        <w:rPr>
          <w:noProof/>
          <w:sz w:val="22"/>
          <w:szCs w:val="22"/>
        </w:rPr>
        <w:t xml:space="preserve">(Jahng </w:t>
      </w:r>
      <w:r w:rsidRPr="0097670D">
        <w:rPr>
          <w:i/>
          <w:iCs/>
          <w:noProof/>
          <w:sz w:val="22"/>
          <w:szCs w:val="22"/>
        </w:rPr>
        <w:t>et al.</w:t>
      </w:r>
      <w:r w:rsidRPr="0097670D">
        <w:rPr>
          <w:noProof/>
          <w:sz w:val="22"/>
          <w:szCs w:val="22"/>
        </w:rPr>
        <w:t>, 2005)</w:t>
      </w:r>
      <w:r w:rsidRPr="0097670D">
        <w:rPr>
          <w:sz w:val="22"/>
          <w:szCs w:val="22"/>
        </w:rPr>
        <w:fldChar w:fldCharType="end"/>
      </w:r>
      <w:r w:rsidRPr="0097670D">
        <w:rPr>
          <w:sz w:val="22"/>
          <w:szCs w:val="22"/>
        </w:rPr>
        <w:t>.</w:t>
      </w:r>
    </w:p>
    <w:p w14:paraId="5009C1ED" w14:textId="4690BB0A" w:rsidR="002147D8" w:rsidRPr="0097670D" w:rsidRDefault="00890C24">
      <w:pPr>
        <w:pStyle w:val="Corpotesto"/>
        <w:spacing w:before="0" w:line="480" w:lineRule="auto"/>
        <w:ind w:firstLine="284"/>
        <w:rPr>
          <w:sz w:val="22"/>
          <w:szCs w:val="22"/>
        </w:rPr>
      </w:pPr>
      <w:bookmarkStart w:id="10" w:name="_Hlk52819694"/>
      <w:r w:rsidRPr="0097670D">
        <w:rPr>
          <w:sz w:val="22"/>
          <w:szCs w:val="22"/>
        </w:rPr>
        <w:t xml:space="preserve">In conclusion, the literature focusing on the patient–physician relationship offers a variety of archetypes, constructs (empathy, trust, patient engagement, etc.), and theories (patient-centred care, evidence-based medicine, etc.) that are useful for comprehending the different facets of this relationship. However, in the same literature, we did not find any study that analyses the patient–physician relationship by taking into account the two phenomena of defensive medicine and value co-creation. Conversely, many studies on either defensive medicine or value co-creation clearly indicate that these two phenomena are strongly linked to the nature of this relationship </w:t>
      </w:r>
      <w:r w:rsidRPr="0097670D">
        <w:rPr>
          <w:sz w:val="22"/>
          <w:szCs w:val="22"/>
        </w:rPr>
        <w:fldChar w:fldCharType="begin" w:fldLock="1"/>
      </w:r>
      <w:r w:rsidRPr="0097670D">
        <w:rPr>
          <w:sz w:val="22"/>
          <w:szCs w:val="22"/>
        </w:rPr>
        <w:instrText>ADDIN CSL_CITATION {"citationItems":[{"id":"ITEM-1","itemData":{"DOI":"10.12998/wjcc.v6.i11.447","ISSN":"2307-8960","abstract":"I WJCC|www.wjgnet.com July 16, 2017|Volume 5|Issue 7| MINIREVIEWS 258 New Zippi M, Hong W, Crispino P, Traversa G 264 Screening - old Pavlovic M, Berenji K, Bukurov M 270 Practical Nayak R ORIGINAL ARTICLE Retrospective Study 280 Feasibility Yamamiya A, Kitamura K, Ishii Y, Mitsui Y, Nomoto T, Yoshida H SYSTEMATIC REVIEWS 286 Diagnostic Kanzara T, Virk JS CASE REPORT 292 Post : Literature Pescatori L, Tropeano MP, Mancarella C, Prizio E, Santoro G, Domenicucci M 299 Rare Luongo M 303 Is ?","author":[{"dropping-particle":"","family":"Vento","given":"Sandro","non-dropping-particle":"","parse-names":false,"suffix":""},{"dropping-particle":"","family":"Cainelli","given":"Francesca","non-dropping-particle":"","parse-names":false,"suffix":""},{"dropping-particle":"","family":"Vallone","given":"Alfredo","non-dropping-particle":"","parse-names":false,"suffix":""}],"container-title":"World Journal of Clinical Cases","id":"ITEM-1","issue":"9","issued":{"date-parts":[["2018"]]},"page":"157-164","title":"Defensive medicine: It is time to finally slow down an epidemic","type":"article-journal","volume":"9"},"uris":["http://www.mendeley.com/documents/?uuid=6ddf2100-cc41-34aa-ace5-1fefbae79ea6"]},{"id":"ITEM-2","itemData":{"DOI":"10.1001/jama.293.21.2609","ISSN":"00987484","abstract":"Context How often physicians alter their clinical behavior because of the threat of malpractice liability, termed defensive medicine, and the consequences of those changes, are central questions in the ongoing medical malpractice reform debate. Objective To study the prevalence and characteristics of defensive medicine among physicians practicing in high-liability specialties during a period of substantial instability in the malpractice environment. Design, Setting, and Participants Mail survey of physicians in 6 specialties at high risk of litigation (emergency medicine, general surgery, orthopedic surgery, neurosurgery, obstetrics/gynecology, and radiology) in Pennsylvania in May 2003. Main Outcome Measures Number of physicians in each specialty reporting defensive medicine or changes in scope of practice and characteristics of defensive medicine (assurance and avoidance behavior). Results A total of 824 physicians (65%) completed the survey. Nearly all (93%) reported practicing defensive medicine. \"Assurance behavior\" such as ordering tests, performing diagnostic procedures, and referring patients for consultation, was very common (92%). Among practitioners of defensive medicine who detailed their most recent defensive act, 43% reported using imaging technology in clinically unnecessary circumstances. Avoidance of procedures and patients that were perceived to elevate the probability of litigation was also widespread. Forty-two percent of respondents reported that they had taken steps to restrict their practice in the previous 3 years, including eliminating procedures prone to complications, such as trauma surgery, and avoiding patients who had complex medical problems or were perceived as litigious. Defensive practice correlated strongly with respondents' lack of confidence in their liability insurance and perceived burden of insurance premiums. Conclusion Defensive medicine is highly prevalent among physicians in Pennsylvania who pay the most for liability insurance, with potentially serious implications for cost, access, and both technical and interpersonal quality of care.","author":[{"dropping-particle":"","family":"Studdert","given":"David M.","non-dropping-particle":"","parse-names":false,"suffix":""},{"dropping-particle":"","family":"Mello","given":"Michelle M.","non-dropping-particle":"","parse-names":false,"suffix":""},{"dropping-particle":"","family":"Sage","given":"William M.","non-dropping-particle":"","parse-names":false,"suffix":""},{"dropping-particle":"","family":"DesRoches","given":"Catherine M.","non-dropping-particle":"","parse-names":false,"suffix":""},{"dropping-particle":"","family":"Peugh","given":"Jordon","non-dropping-particle":"","parse-names":false,"suffix":""},{"dropping-particle":"","family":"Zapert","given":"Kinga","non-dropping-particle":"","parse-names":false,"suffix":""},{"dropping-particle":"","family":"Brennan","given":"Troyen A.","non-dropping-particle":"","parse-names":false,"suffix":""}],"container-title":"Journal of the American Medical Association","id":"ITEM-2","issue":"21","issued":{"date-parts":[["2005"]]},"page":"2609-2617","title":"Defensive medicine among high-risk specialist physicians in a volatile malpractice environment","type":"article-journal","volume":"293"},"uris":["http://www.mendeley.com/documents/?uuid=4c4e5e25-4a8c-3a94-a442-3a30fea3e173"]},{"id":"ITEM-3","itemData":{"DOI":"10.18662/lumproc.rsacvp2017.82","author":[{"dropping-particle":"","family":"Tinica","given":"G.","non-dropping-particle":"","parse-names":false,"suffix":""},{"dropping-particle":"","family":"Tomaziu-Todosia","given":"M.","non-dropping-particle":"","parse-names":false,"suffix":""},{"dropping-particle":"","family":"Tomaziu Todosia, G.-C. Christol","given":"R.O.","non-dropping-particle":"","parse-names":false,"suffix":""},{"dropping-particle":"","family":"Bulgariu-Iliescu","given":"D.","non-dropping-particle":"","parse-names":false,"suffix":""},{"dropping-particle":"","family":"Furnica","given":"C.","non-dropping-particle":"","parse-names":false,"suffix":""}],"container-title":"Rethinking Social Action. Core Values in Practice","id":"ITEM-3","issued":{"date-parts":[["2017","12","14"]]},"page":"898-910","title":"Defensive Medicine: Myths and Realities","type":"paper-conference","volume":"1"},"uris":["http://www.mendeley.com/documents/?uuid=0e14e71d-efc8-3a0c-b7ee-0de76a55459a"]},{"id":"ITEM-4","itemData":{"DOI":"10.1016/j.ausmj.2014.08.008","ISSN":"14413582","abstract":"With the aim of addressing a gap in service research on co-creation in health care, this study discusses the problem of information asymmetry in the service provider-user relationship by adopting the Viable Systems Approach. We develop a three-step interpretative framework to support the understanding of the health service relationship by going beyond the traditional information asymmetry view towards a framework capable of examining the human side of service interaction. Using the case of the Italian Health System, we discuss whether and how the problem of information asymmetry affects the health care provider-user co-creation relationship. Our findings open up a wider view of information asymmetry, suggesting a shift in focus from information sharing to interpretation schemes sharing, all the way up to values sharing, offering new insights for co-creation in health care.","author":[{"dropping-particle":"","family":"Barile","given":"Sergio","non-dropping-particle":"","parse-names":false,"suffix":""},{"dropping-particle":"","family":"Saviano","given":"Marialuisa","non-dropping-particle":"","parse-names":false,"suffix":""},{"dropping-particle":"","family":"Polese","given":"Francesco","non-dropping-particle":"","parse-names":false,"suffix":""}],"container-title":"Australasian Marketing Journal","id":"ITEM-4","issue":"3","issued":{"date-parts":[["2014","8","1"]]},"page":"205-217","publisher":"Elsevier Australia","title":"Information asymmetry and co-creation in health care services","type":"article-journal","volume":"22"},"uris":["http://www.mendeley.com/documents/?uuid=bd6cd1be-bfca-3825-8f9b-f97aa67cb547"]},{"id":"ITEM-5","itemData":{"DOI":"10.1016/j.pec.2006.05.002","ISSN":"07383991","abstract":"Objective: To consider the conceptualisation of patient involvement in treatment decision-making. Method: Conceptual review. Results: Current models and measures of patient involvement in treatment decision-making tend to focus on communication within consultations and/or on the patient's use of information to consider the selection of one treatment option from a well-defined set. These narrowly focused models and measures may obscure the relevance of patient involvement in decision-making for some health care contexts and limit investigations of the relationships between patient involvement in decision-making and health care outcomes. We outline a broader conceptual framework that reflects more of the complexity of the concept of involvement. It acknowledges that patients can be involved not only because of what they say and do to influence a decision, but also by virtue of what they think and feel about their roles, efforts and contributions to decision-making and their relationships with their clinicians. The framework encompasses the full range of activities associated with decision-making. Conclusion: The proposed conceptual framework may broaden the relevance of patient involvement in decision-making and encourage a more comprehensive characterisation that may facilitate more sophisticated investigations of the relationships between patient involvement in decision-making and health care outcomes. Practice implications: Clinicians who aspire to facilitate patient involvement in decision-making need to look beyond the way they discuss health care options with patients. They should also consider how they might enable patients to engage in the full range of decision-making activities and to develop a positive sense of involvement in these activities and with their clinicians. © 2006 Elsevier Ireland Ltd. All rights reserved.","author":[{"dropping-particle":"","family":"Entwistle","given":"Vikki A.","non-dropping-particle":"","parse-names":false,"suffix":""},{"dropping-particle":"","family":"Watt","given":"Ian S.","non-dropping-particle":"","parse-names":false,"suffix":""}],"container-title":"Patient Education and Counseling","id":"ITEM-5","issue":"3 SPEC. ISS.","issued":{"date-parts":[["2006"]]},"page":"268-278","publisher":"Elsevier Ireland Ltd","title":"Patient involvement in treatment decision-making: The case for a broader conceptual framework","type":"article-journal","volume":"63"},"uris":["http://www.mendeley.com/documents/?uuid=b72e8593-c4de-32bb-9786-14b4743c5d36"]},{"id":"ITEM-6","itemData":{"DOI":"978-92-890-0294-3","ISBN":"9789289002943","abstract":"Laws and declarations on patients’ rights do not automatically make health care safer, but can help to empower patients. Empowered patients can better manage their own health and health care and participate in efforts to improve safety. This report presents an overview of the legal influences on patient safety and explores the relationship between patients’ rights, patient participation and patient safety. It provides a synthesis of studies of patient involvement, with detailed examples from Bulgaria, France, the Netherlands, Poland and Portugal. It highlights the need to strengthen a continuum of information between various levels of care, including patient experiences, health literacy and engagement. It offers recommendations on the macro, meso and micro levels of health service delivery. By contributing to the wider process of evidence collation, it will help identify efficient ways to build realistic and informed expectations of health care, while encouraging patients to be vigilant and knowledgeable, thus ensuring maximum safety standards.","author":[{"dropping-particle":"","family":"World Health Organization","given":"","non-dropping-particle":"","parse-names":false,"suffix":""}],"container-title":"WHO: Geneva","id":"ITEM-6","issued":{"date-parts":[["2013"]]},"number-of-pages":"190","title":"Exploring patient participation in reducing health-care-related safety risks","type":"book"},"uris":["http://www.mendeley.com/documents/?uuid=46ec7c27-8359-4639-9812-a2977d4e7206"]},{"id":"ITEM-7","itemData":{"DOI":"10.1136/bmjopen-2018-025108","ISSN":"20446055","abstract":"Objectives This study investigated whether the attitudes of physicians towards justified and unjustified litigation, and their perception of patient pressure in demanding care, influence their use of defensive medical behaviours. Design Cross-sectional survey using exploratory factor analysis was conducted to determine litigation attitude and perceived patient pressure factors. Regression analyses were used to regress these factors on to the ordering of extra tests or procedures (defensive assurance behaviour) or the avoidance of high-risk patients or procedures (defensive avoidance behaviour). Setting Data were collected from eight Dutch hospitals. Participants Respondents were 160 physicians and 54 residents (response rate 25%) of the hospital departments of (1) anaesthesiology, (2) colon, stomach and liver diseases, (3) gynaecology, (4) internal medicine, (5) neurology and (6) surgery. Primary outcome measures Respondents' application of defensive assurance and avoidance behaviours. Results € Disapproval of justified litigation' and € Concerns about unjustified litigation' were positively related to both assurance (β=0.21, p&lt;0.01, and β=0.28, p&lt;0.001, respectively) and avoidance (β=0.16, p&lt;0.05, and β=0.18, p&lt;0.05, respectively) behaviours. € Self-blame for justified litigation' was not significantly related to both defensive behaviours. Perceived patient pressures to refer (β=0.18, p&lt;0.05) and to prescribe medicine (β=0.23, p&lt;0.01) had direct positive relationships with assurance behaviour, whereas perceived patient pressure to prescribe medicine was also positively related to avoidance behaviour (β=0.14, p&lt;0.05). No difference was found between physicians and residents in their defensive medical behaviour. Conclusions Physicians adopted more defensive medical behaviours if they had stronger thoughts and emotions towards (un)justified litigation. Further, physicians should be aware that perceived patient pressure for care can lead to them adopting defensive behaviours that negatively affects the quality and safety of patient care.","author":[{"dropping-particle":"","family":"Renkema","given":"Erik","non-dropping-particle":"","parse-names":false,"suffix":""},{"dropping-particle":"","family":"Ahaus","given":"Kees","non-dropping-particle":"","parse-names":false,"suffix":""},{"dropping-particle":"","family":"Broekhuis","given":"Manda","non-dropping-particle":"","parse-names":false,"suffix":""},{"dropping-particle":"","family":"Tims","given":"Maria","non-dropping-particle":"","parse-names":false,"suffix":""}],"container-title":"BMJ Open","id":"ITEM-7","issue":"6","issued":{"date-parts":[["2019"]]},"page":"1-11","title":"Triggers of defensive medical behaviours: A cross-sectional study among physicians in the Netherlands","type":"article-journal","volume":"9"},"uris":["http://www.mendeley.com/documents/?uuid=1e6128e3-f6ea-4367-8319-285ae1b0c6bc"]},{"id":"ITEM-8","itemData":{"DOI":"10.1108/03090560610681014","ISSN":"03090566","abstract":"Purpose - Several trends such as improved access to health care information via the internet, the growth of self-help groups and expenditure on alternative medicine signals consumers are taking an active role in their own health management. Chronic illnesses such as diabetes and asthma require a significant amount of self-management and thus call for a collaborative patient-physician relationship. This study explores whether empowering patient-physician consultations measured through three patient empowerment dimensions (patient control, patient participation, physician support) enhance patients trust in and commitment to their physician. Design/methodology/ approach - A comprehensive mail survey of adults registered with one of four different chronic illness associations in Australia was conducted to collect the data. Findings - The structural equation modelling results show that patients are more trusting of and committed to physicians who adopt an empowering communication style with them. Research limitations/implications - This study focuses on the Australian healthcare context. Thus, future multinational studies should explore suitable strategies to empower healthcare consumers that build on the constraints placed by diverse healthcare systems. Practical implications - In a managed health care and cost cutting climate where patient trust is deteriorating, these findings suggest that empowering patients presents a means to improve the patient-physician relationship. Originality/value - Whilst numerous marketing scholars have researched the empowerment of staff, there is a shortage of studies that address the meaning and outcomes of consumer empowerment. This study proposes a unique communication based consumer empowerment construct which is shown to impact on consumer-service provider relationships. © Emerald Group Publishing Limited.","author":[{"dropping-particle":"","family":"Ouschan","given":"Robyn","non-dropping-particle":"","parse-names":false,"suffix":""},{"dropping-particle":"","family":"Sweeney","given":"Jillian","non-dropping-particle":"","parse-names":false,"suffix":""},{"dropping-particle":"","family":"Johnson","given":"Lester","non-dropping-particle":"","parse-names":false,"suffix":""}],"container-title":"European Journal of Marketing","id":"ITEM-8","issue":"9-10","issued":{"date-parts":[["2006"]]},"page":"1068-1086","title":"Customer empowerment and relationship outcomes in healthcare consultations","type":"article-journal","volume":"40"},"uris":["http://www.mendeley.com/documents/?uuid=54b14703-1e8a-41a8-a83e-9e63ed3d661a"]}],"mendeley":{"formattedCitation":"(Barile et al., 2014; Entwistle and Watt, 2006; Ouschan et al., 2006; Renkema et al., 2019; Studdert et al., 2005; Tinica et al., 2017; Vento et al., 2018; World Health Organization, 2013)","plainTextFormattedCitation":"(Barile et al., 2014; Entwistle and Watt, 2006; Ouschan et al., 2006; Renkema et al., 2019; Studdert et al., 2005; Tinica et al., 2017; Vento et al., 2018; World Health Organization, 2013)","previouslyFormattedCitation":"(Barile et al., 2014; Entwistle and Watt, 2006; Ouschan et al., 2006; Renkema et al., 2019; Studdert et al., 2005; Tinica et al., 2017; Vento et al., 2018; World Health Organization, 2013)"},"properties":{"noteIndex":0},"schema":"https://github.com/citation-style-language/schema/raw/master/csl-citation.json"}</w:instrText>
      </w:r>
      <w:r w:rsidRPr="0097670D">
        <w:rPr>
          <w:sz w:val="22"/>
          <w:szCs w:val="22"/>
        </w:rPr>
        <w:fldChar w:fldCharType="separate"/>
      </w:r>
      <w:r w:rsidRPr="0097670D">
        <w:rPr>
          <w:noProof/>
          <w:sz w:val="22"/>
          <w:szCs w:val="22"/>
        </w:rPr>
        <w:t xml:space="preserve">(Barile </w:t>
      </w:r>
      <w:r w:rsidRPr="0097670D">
        <w:rPr>
          <w:i/>
          <w:iCs/>
          <w:noProof/>
          <w:sz w:val="22"/>
          <w:szCs w:val="22"/>
        </w:rPr>
        <w:t>et al.</w:t>
      </w:r>
      <w:r w:rsidRPr="0097670D">
        <w:rPr>
          <w:noProof/>
          <w:sz w:val="22"/>
          <w:szCs w:val="22"/>
        </w:rPr>
        <w:t xml:space="preserve">, 2014; Entwistle and Watt, 2006; Ouschan </w:t>
      </w:r>
      <w:r w:rsidRPr="0097670D">
        <w:rPr>
          <w:i/>
          <w:iCs/>
          <w:noProof/>
          <w:sz w:val="22"/>
          <w:szCs w:val="22"/>
        </w:rPr>
        <w:t>et al.</w:t>
      </w:r>
      <w:r w:rsidRPr="0097670D">
        <w:rPr>
          <w:noProof/>
          <w:sz w:val="22"/>
          <w:szCs w:val="22"/>
        </w:rPr>
        <w:t xml:space="preserve">, 2006; Renkema </w:t>
      </w:r>
      <w:r w:rsidRPr="0097670D">
        <w:rPr>
          <w:i/>
          <w:iCs/>
          <w:noProof/>
          <w:sz w:val="22"/>
          <w:szCs w:val="22"/>
        </w:rPr>
        <w:t>et al.</w:t>
      </w:r>
      <w:r w:rsidRPr="0097670D">
        <w:rPr>
          <w:noProof/>
          <w:sz w:val="22"/>
          <w:szCs w:val="22"/>
        </w:rPr>
        <w:t xml:space="preserve">, 2019; Studdert </w:t>
      </w:r>
      <w:r w:rsidRPr="0097670D">
        <w:rPr>
          <w:i/>
          <w:iCs/>
          <w:noProof/>
          <w:sz w:val="22"/>
          <w:szCs w:val="22"/>
        </w:rPr>
        <w:t>et al.</w:t>
      </w:r>
      <w:r w:rsidRPr="0097670D">
        <w:rPr>
          <w:noProof/>
          <w:sz w:val="22"/>
          <w:szCs w:val="22"/>
        </w:rPr>
        <w:t xml:space="preserve">, 2005; Tinica </w:t>
      </w:r>
      <w:r w:rsidRPr="0097670D">
        <w:rPr>
          <w:i/>
          <w:iCs/>
          <w:noProof/>
          <w:sz w:val="22"/>
          <w:szCs w:val="22"/>
        </w:rPr>
        <w:t>et al.</w:t>
      </w:r>
      <w:r w:rsidRPr="0097670D">
        <w:rPr>
          <w:noProof/>
          <w:sz w:val="22"/>
          <w:szCs w:val="22"/>
        </w:rPr>
        <w:t xml:space="preserve">, 2017; Vento </w:t>
      </w:r>
      <w:r w:rsidRPr="0097670D">
        <w:rPr>
          <w:i/>
          <w:iCs/>
          <w:noProof/>
          <w:sz w:val="22"/>
          <w:szCs w:val="22"/>
        </w:rPr>
        <w:t>et al.</w:t>
      </w:r>
      <w:r w:rsidRPr="0097670D">
        <w:rPr>
          <w:noProof/>
          <w:sz w:val="22"/>
          <w:szCs w:val="22"/>
        </w:rPr>
        <w:t>, 2018; World Health Organization, 2013)</w:t>
      </w:r>
      <w:r w:rsidRPr="0097670D">
        <w:rPr>
          <w:sz w:val="22"/>
          <w:szCs w:val="22"/>
        </w:rPr>
        <w:fldChar w:fldCharType="end"/>
      </w:r>
      <w:r w:rsidRPr="0097670D">
        <w:rPr>
          <w:sz w:val="22"/>
          <w:szCs w:val="22"/>
        </w:rPr>
        <w:t>. Therefore, the research presented in this paper is positioned within and wishes to contribute to the literature on patient–physician relationships by adding considerations for the phenomena already mentioned. In this way, we will be able to study specific relationship characteristics which are relevant in terms of value generation and defensive medicine behaviour.</w:t>
      </w:r>
      <w:bookmarkEnd w:id="10"/>
    </w:p>
    <w:p w14:paraId="2161734C" w14:textId="77777777" w:rsidR="002147D8" w:rsidRPr="0097670D" w:rsidRDefault="002147D8">
      <w:pPr>
        <w:pStyle w:val="Corpotesto"/>
        <w:spacing w:before="0" w:line="480" w:lineRule="auto"/>
        <w:rPr>
          <w:sz w:val="22"/>
          <w:szCs w:val="22"/>
        </w:rPr>
      </w:pPr>
    </w:p>
    <w:p w14:paraId="3290E80D" w14:textId="77777777" w:rsidR="002147D8" w:rsidRPr="0097670D" w:rsidRDefault="00890C24">
      <w:pPr>
        <w:pStyle w:val="Corpotesto"/>
        <w:spacing w:before="0" w:line="480" w:lineRule="auto"/>
        <w:rPr>
          <w:b/>
          <w:sz w:val="22"/>
          <w:szCs w:val="22"/>
        </w:rPr>
      </w:pPr>
      <w:r w:rsidRPr="0097670D">
        <w:rPr>
          <w:b/>
          <w:sz w:val="22"/>
          <w:szCs w:val="22"/>
        </w:rPr>
        <w:t>Methodology</w:t>
      </w:r>
    </w:p>
    <w:p w14:paraId="7C231276" w14:textId="231F7038" w:rsidR="002147D8" w:rsidRPr="0097670D" w:rsidRDefault="00890C24">
      <w:pPr>
        <w:pStyle w:val="Corpotesto"/>
        <w:spacing w:before="0" w:line="480" w:lineRule="auto"/>
        <w:rPr>
          <w:sz w:val="22"/>
          <w:szCs w:val="22"/>
        </w:rPr>
      </w:pPr>
      <w:bookmarkStart w:id="11" w:name="_Hlk61344893"/>
      <w:r w:rsidRPr="0097670D">
        <w:rPr>
          <w:sz w:val="22"/>
          <w:szCs w:val="22"/>
        </w:rPr>
        <w:t xml:space="preserve">To analyse and define patient–physician relationship archetypes, we opted for the revised qualitative approach adopted by </w:t>
      </w:r>
      <w:r w:rsidRPr="0097670D">
        <w:rPr>
          <w:sz w:val="22"/>
          <w:szCs w:val="22"/>
        </w:rPr>
        <w:fldChar w:fldCharType="begin" w:fldLock="1"/>
      </w:r>
      <w:r w:rsidRPr="0097670D">
        <w:rPr>
          <w:sz w:val="22"/>
          <w:szCs w:val="22"/>
        </w:rPr>
        <w:instrText>ADDIN CSL_CITATION {"citationItems":[{"id":"ITEM-1","itemData":{"ISBN":"1094428108324","author":[{"dropping-particle":"","family":"Corbin","given":"Juliet","non-dropping-particle":"","parse-names":false,"suffix":""},{"dropping-particle":"","family":"Strauss","given":"Anselm","non-dropping-particle":"","parse-names":false,"suffix":""}],"container-title":"SAGE Publications, Inc.","id":"ITEM-1","issued":{"date-parts":[["2008"]]},"publisher":"SAGE Publications, Inc.","title":"Basics of Qualitative Research (3rd ed.): Techniques and Procedures for Developing Grounded Theory","type":"book"},"uris":["http://www.mendeley.com/documents/?uuid=583396ab-1000-4c41-b09c-9ed7b93ff76a"]}],"mendeley":{"formattedCitation":"(Corbin and Strauss, 2008)","manualFormatting":"Corbin and Strauss (2008)","plainTextFormattedCitation":"(Corbin and Strauss, 2008)","previouslyFormattedCitation":"(Corbin and Strauss, 2008)"},"properties":{"noteIndex":0},"schema":"https://github.com/citation-style-language/schema/raw/master/csl-citation.json"}</w:instrText>
      </w:r>
      <w:r w:rsidRPr="0097670D">
        <w:rPr>
          <w:sz w:val="22"/>
          <w:szCs w:val="22"/>
        </w:rPr>
        <w:fldChar w:fldCharType="separate"/>
      </w:r>
      <w:r w:rsidRPr="0097670D">
        <w:rPr>
          <w:noProof/>
          <w:sz w:val="22"/>
          <w:szCs w:val="22"/>
        </w:rPr>
        <w:t>Corbin and Strauss (2008)</w:t>
      </w:r>
      <w:r w:rsidRPr="0097670D">
        <w:rPr>
          <w:sz w:val="22"/>
          <w:szCs w:val="22"/>
        </w:rPr>
        <w:fldChar w:fldCharType="end"/>
      </w:r>
      <w:r w:rsidRPr="0097670D">
        <w:rPr>
          <w:sz w:val="22"/>
          <w:szCs w:val="22"/>
        </w:rPr>
        <w:t xml:space="preserve"> involving a three-level coding activity. </w:t>
      </w:r>
      <w:bookmarkEnd w:id="11"/>
      <w:r w:rsidRPr="0097670D">
        <w:rPr>
          <w:sz w:val="22"/>
          <w:szCs w:val="22"/>
        </w:rPr>
        <w:t xml:space="preserve">The data was collected between January and March 2020 at three different Italian hospitals and a private medical office. They include semi-structured interviews with 5 physicians and 15 patients </w:t>
      </w:r>
      <w:r w:rsidRPr="0097670D">
        <w:rPr>
          <w:sz w:val="22"/>
          <w:szCs w:val="22"/>
        </w:rPr>
        <w:lastRenderedPageBreak/>
        <w:t>which lasted, on average, 1 hour (with the physicians) and 20 minutes (with the patients) as well as field observations and personal notes.</w:t>
      </w:r>
    </w:p>
    <w:p w14:paraId="68882D9A" w14:textId="0E54FE31" w:rsidR="002147D8" w:rsidRPr="0097670D" w:rsidRDefault="00890C24">
      <w:pPr>
        <w:pStyle w:val="Corpotesto"/>
        <w:spacing w:before="0" w:line="480" w:lineRule="auto"/>
        <w:ind w:firstLine="284"/>
        <w:rPr>
          <w:sz w:val="22"/>
          <w:szCs w:val="22"/>
        </w:rPr>
      </w:pPr>
      <w:r w:rsidRPr="0097670D">
        <w:rPr>
          <w:sz w:val="22"/>
          <w:szCs w:val="22"/>
        </w:rPr>
        <w:t>Concerning the physicians, our sampling logic was built around choosing key informants from different medical areas. The specific medical areas involved in this study are general medicine, emergency surgery, radiology, internal medicine, and gastroenterology. In the literature, many studies on defensive medicine are focused only on medical specialities with a high risk of lawsuits, but since our study is about a generalization of patient–physician relationship typologies, we opted for specialities in which the risk of defensive behaviours vary from rare (general medicine) to frequent (emergency surgery). For our purposes, a key informant is a physician with a range of 10–25 years of job experience. We wanted to eliminate both those who were too ‘old school’ and newer physicians, who may alter the solidity of this study. Another aspect we have taken into account is that almost all of the physicians who were interviewed had experiences in both the private and the public sectors. In this way, we could include both perspectives. On the other side, the patients were chosen randomly from the adults in the waiting rooms of the key informant physicians. We selected three patients from each speciality.</w:t>
      </w:r>
    </w:p>
    <w:p w14:paraId="4B4A6D26" w14:textId="7990D02B" w:rsidR="002147D8" w:rsidRPr="0097670D" w:rsidRDefault="00890C24">
      <w:pPr>
        <w:pStyle w:val="Corpotesto"/>
        <w:spacing w:before="0" w:line="480" w:lineRule="auto"/>
        <w:ind w:firstLine="284"/>
        <w:rPr>
          <w:sz w:val="22"/>
          <w:szCs w:val="22"/>
        </w:rPr>
      </w:pPr>
      <w:r w:rsidRPr="0097670D">
        <w:rPr>
          <w:sz w:val="22"/>
          <w:szCs w:val="22"/>
        </w:rPr>
        <w:t xml:space="preserve">It is important to clarify that during the interviews, both with patients and physicians, we did not focus on just one relationship, </w:t>
      </w:r>
      <w:proofErr w:type="gramStart"/>
      <w:r w:rsidRPr="0097670D">
        <w:rPr>
          <w:sz w:val="22"/>
          <w:szCs w:val="22"/>
        </w:rPr>
        <w:t>i.e.</w:t>
      </w:r>
      <w:proofErr w:type="gramEnd"/>
      <w:r w:rsidRPr="0097670D">
        <w:rPr>
          <w:sz w:val="22"/>
          <w:szCs w:val="22"/>
        </w:rPr>
        <w:t xml:space="preserve"> we did not ask patient A to tell us only about their relationship with doctor B and vice versa, and we did not match their answers about a specific relationship (A with B). Contrarily, we interviewed patients (and physicians) about their entire experience of relationships with physicians (and patients). We asked them to tell us about the multiple relationships they had in order to get as many insights as we could. The questions (see Appendix 1 and 2) were quite general and open-ended, asking for, when possible, examples or direct experiences. The discussed topics referred to the concept of value in healthcare, co-creation activities, cognitive and behavioural aspects in patient–physician relationships, defensive medicine practices, and possible triggering conditions. We recorded the interviews and transcribed them within two days in order to recall those moments in an optimal way and to re-order field observations and personal notes.</w:t>
      </w:r>
    </w:p>
    <w:p w14:paraId="014A1C7B" w14:textId="1E79155E" w:rsidR="002147D8" w:rsidRPr="0097670D" w:rsidRDefault="00890C24">
      <w:pPr>
        <w:pStyle w:val="Corpotesto"/>
        <w:spacing w:before="0" w:line="480" w:lineRule="auto"/>
        <w:ind w:firstLine="284"/>
        <w:rPr>
          <w:sz w:val="22"/>
          <w:szCs w:val="22"/>
        </w:rPr>
      </w:pPr>
      <w:r w:rsidRPr="0097670D">
        <w:rPr>
          <w:sz w:val="22"/>
          <w:szCs w:val="22"/>
        </w:rPr>
        <w:lastRenderedPageBreak/>
        <w:t xml:space="preserve">Our transcriptions have been analysed by two researchers with the support of the text analysis software </w:t>
      </w:r>
      <w:proofErr w:type="spellStart"/>
      <w:r w:rsidRPr="0097670D">
        <w:rPr>
          <w:sz w:val="22"/>
          <w:szCs w:val="22"/>
        </w:rPr>
        <w:t>ATLAS.ti</w:t>
      </w:r>
      <w:proofErr w:type="spellEnd"/>
      <w:r w:rsidRPr="0097670D">
        <w:rPr>
          <w:sz w:val="22"/>
          <w:szCs w:val="22"/>
        </w:rPr>
        <w:t xml:space="preserve">. In specific, the data were coded separately, and then the results were matched only at the end of the process in order to confirm and discuss the differences obtained. Through the </w:t>
      </w:r>
      <w:r w:rsidR="002C52CE" w:rsidRPr="0097670D">
        <w:rPr>
          <w:sz w:val="22"/>
          <w:szCs w:val="22"/>
        </w:rPr>
        <w:t>organizing</w:t>
      </w:r>
      <w:r w:rsidRPr="0097670D">
        <w:rPr>
          <w:sz w:val="22"/>
          <w:szCs w:val="22"/>
        </w:rPr>
        <w:t xml:space="preserve"> </w:t>
      </w:r>
      <w:r w:rsidR="00176AA0" w:rsidRPr="0097670D">
        <w:rPr>
          <w:sz w:val="22"/>
          <w:szCs w:val="22"/>
        </w:rPr>
        <w:t xml:space="preserve">of </w:t>
      </w:r>
      <w:r w:rsidR="002C52CE" w:rsidRPr="0097670D">
        <w:rPr>
          <w:sz w:val="22"/>
          <w:szCs w:val="22"/>
        </w:rPr>
        <w:t>sentences from t</w:t>
      </w:r>
      <w:r w:rsidR="00176AA0" w:rsidRPr="0097670D">
        <w:rPr>
          <w:sz w:val="22"/>
          <w:szCs w:val="22"/>
        </w:rPr>
        <w:t xml:space="preserve">he interviews’ </w:t>
      </w:r>
      <w:r w:rsidR="002C52CE" w:rsidRPr="0097670D">
        <w:rPr>
          <w:sz w:val="22"/>
          <w:szCs w:val="22"/>
        </w:rPr>
        <w:t>transcriptions</w:t>
      </w:r>
      <w:r w:rsidRPr="0097670D">
        <w:rPr>
          <w:sz w:val="22"/>
          <w:szCs w:val="22"/>
        </w:rPr>
        <w:t xml:space="preserve"> by quotes, these were </w:t>
      </w:r>
      <w:r w:rsidR="002C52CE" w:rsidRPr="0097670D">
        <w:rPr>
          <w:sz w:val="22"/>
          <w:szCs w:val="22"/>
        </w:rPr>
        <w:t>labelled</w:t>
      </w:r>
      <w:r w:rsidRPr="0097670D">
        <w:rPr>
          <w:sz w:val="22"/>
          <w:szCs w:val="22"/>
        </w:rPr>
        <w:t xml:space="preserve"> into a pattern of aspects and characteristics with the first level of coding.</w:t>
      </w:r>
    </w:p>
    <w:p w14:paraId="32390D58" w14:textId="3660063F" w:rsidR="002147D8" w:rsidRPr="0097670D" w:rsidRDefault="00890C24">
      <w:pPr>
        <w:pStyle w:val="Corpotesto"/>
        <w:spacing w:before="0" w:line="480" w:lineRule="auto"/>
        <w:ind w:firstLine="284"/>
        <w:rPr>
          <w:sz w:val="22"/>
          <w:szCs w:val="22"/>
        </w:rPr>
      </w:pPr>
      <w:bookmarkStart w:id="12" w:name="_Hlk61259135"/>
      <w:r w:rsidRPr="0097670D">
        <w:rPr>
          <w:sz w:val="22"/>
          <w:szCs w:val="22"/>
        </w:rPr>
        <w:t xml:space="preserve">Once we had identified all the characteristics present in the data, the second level of coding consisted of assigning a degree (low or high) to both the risk of defensive medicine behaviour and the likelihood of value co-creation emerging from the interviews. </w:t>
      </w:r>
      <w:bookmarkStart w:id="13" w:name="_Hlk61531123"/>
      <w:r w:rsidRPr="0097670D">
        <w:rPr>
          <w:sz w:val="22"/>
          <w:szCs w:val="22"/>
        </w:rPr>
        <w:t xml:space="preserve">During the interviews, we found several occurrences of </w:t>
      </w:r>
      <w:r w:rsidRPr="0097670D">
        <w:rPr>
          <w:sz w:val="22"/>
        </w:rPr>
        <w:t>assurance</w:t>
      </w:r>
      <w:r w:rsidRPr="0097670D">
        <w:rPr>
          <w:sz w:val="22"/>
          <w:szCs w:val="22"/>
        </w:rPr>
        <w:t xml:space="preserve"> behaviour but only one occurrence</w:t>
      </w:r>
      <w:r w:rsidRPr="0097670D">
        <w:rPr>
          <w:i/>
          <w:iCs/>
          <w:sz w:val="22"/>
          <w:szCs w:val="22"/>
        </w:rPr>
        <w:t xml:space="preserve"> </w:t>
      </w:r>
      <w:r w:rsidRPr="0097670D">
        <w:rPr>
          <w:sz w:val="22"/>
          <w:szCs w:val="22"/>
        </w:rPr>
        <w:t xml:space="preserve">of </w:t>
      </w:r>
      <w:r w:rsidRPr="0097670D">
        <w:rPr>
          <w:sz w:val="22"/>
        </w:rPr>
        <w:t>avoidance</w:t>
      </w:r>
      <w:r w:rsidRPr="0097670D">
        <w:rPr>
          <w:sz w:val="22"/>
          <w:szCs w:val="22"/>
        </w:rPr>
        <w:t xml:space="preserve"> behaviour. For this reason, in the empirical analysis, we did not consider the latter, and we focused only on the assurance behaviour of defensive medicine.</w:t>
      </w:r>
    </w:p>
    <w:bookmarkEnd w:id="13"/>
    <w:p w14:paraId="51C1C039" w14:textId="394199A2" w:rsidR="002147D8" w:rsidRPr="0097670D" w:rsidRDefault="00890C24">
      <w:pPr>
        <w:pStyle w:val="Corpotesto"/>
        <w:spacing w:before="0" w:line="480" w:lineRule="auto"/>
        <w:ind w:firstLine="284"/>
        <w:rPr>
          <w:sz w:val="22"/>
          <w:szCs w:val="22"/>
        </w:rPr>
      </w:pPr>
      <w:r w:rsidRPr="0097670D">
        <w:rPr>
          <w:sz w:val="22"/>
          <w:szCs w:val="22"/>
        </w:rPr>
        <w:t xml:space="preserve">In particular, in order to attribute a degree of value co-creation, we used the classification of the activities provided by </w:t>
      </w:r>
      <w:r w:rsidRPr="0097670D">
        <w:rPr>
          <w:sz w:val="22"/>
          <w:szCs w:val="22"/>
        </w:rPr>
        <w:fldChar w:fldCharType="begin" w:fldLock="1"/>
      </w:r>
      <w:r w:rsidRPr="0097670D">
        <w:rPr>
          <w:sz w:val="22"/>
          <w:szCs w:val="22"/>
        </w:rPr>
        <w:instrText>ADDIN CSL_CITATION {"citationItems":[{"id":"ITEM-1","itemData":{"DOI":"10.1177/1094670512442806","ISSN":"10946705","abstract":"This article explores in-depth what health care customers actually do when they cocreate value. Combining previously published research with data collected from depth interviews, field observation, and focus groups, the authors identify distinct styles of health care customer value cocreation practice. Importantly, the authors show how customers can contribute to their own value creation through their own (self) activities in managing their health care. Building on past work in service-dominant (S-D) logic, consumer culture theory and social practice theory, the authors identify \"roles,\" \"activities,\" and \"interactions\" that underlie customer cocreation of value in health care. The authors uncover five groupings of customer value cocreation practices yielding a typology of practice styles and link these to quality of life. The practice styles are \"team management,\" \"insular controlling,\" \"partnering,\" \"pragmatic adapting,\" and \"passive compliance.\" Two in particular, team management and partnering, should be encouraged by managers as they tend to be associated with higher quality of life. The authors provide a health care Customer Value Cocreation Practice Styles (CVCPS) typology. The usefulness of the typology is demonstrated by showing links to quality of life and its potential application to other health care settings. © The Author(s) 2012.","author":[{"dropping-particle":"","family":"McColl-Kennedy","given":"Janet R.","non-dropping-particle":"","parse-names":false,"suffix":""},{"dropping-particle":"","family":"Vargo","given":"Stephen L.","non-dropping-particle":"","parse-names":false,"suffix":""},{"dropping-particle":"","family":"Dagger","given":"Tracey S.","non-dropping-particle":"","parse-names":false,"suffix":""},{"dropping-particle":"","family":"Sweeney","given":"Jillian C.","non-dropping-particle":"","parse-names":false,"suffix":""},{"dropping-particle":"","family":"Kasteren","given":"Yasmin","non-dropping-particle":"van","parse-names":false,"suffix":""}],"container-title":"Journal of Service Research","id":"ITEM-1","issue":"4","issued":{"date-parts":[["2012","11"]]},"page":"370-389","title":"Health Care Customer Value Cocreation Practice Styles","type":"article-journal","volume":"15"},"uris":["http://www.mendeley.com/documents/?uuid=21604ebe-bf57-3f7f-b4ef-39273b5c26ba"]}],"mendeley":{"formattedCitation":"(McColl-Kennedy et al., 2012)","manualFormatting":"McColl-Kennedy et al. (2012)","plainTextFormattedCitation":"(McColl-Kennedy et al., 2012)","previouslyFormattedCitation":"(McColl-Kennedy et al., 2012)"},"properties":{"noteIndex":0},"schema":"https://github.com/citation-style-language/schema/raw/master/csl-citation.json"}</w:instrText>
      </w:r>
      <w:r w:rsidRPr="0097670D">
        <w:rPr>
          <w:sz w:val="22"/>
          <w:szCs w:val="22"/>
        </w:rPr>
        <w:fldChar w:fldCharType="separate"/>
      </w:r>
      <w:r w:rsidRPr="0097670D">
        <w:rPr>
          <w:noProof/>
          <w:sz w:val="22"/>
          <w:szCs w:val="22"/>
        </w:rPr>
        <w:t xml:space="preserve">McColl-Kennedy </w:t>
      </w:r>
      <w:r w:rsidRPr="0097670D">
        <w:rPr>
          <w:i/>
          <w:iCs/>
          <w:noProof/>
          <w:sz w:val="22"/>
          <w:szCs w:val="22"/>
        </w:rPr>
        <w:t>et al.</w:t>
      </w:r>
      <w:r w:rsidRPr="0097670D">
        <w:rPr>
          <w:noProof/>
          <w:sz w:val="22"/>
          <w:szCs w:val="22"/>
        </w:rPr>
        <w:t xml:space="preserve"> (2012)</w:t>
      </w:r>
      <w:r w:rsidRPr="0097670D">
        <w:rPr>
          <w:sz w:val="22"/>
          <w:szCs w:val="22"/>
        </w:rPr>
        <w:fldChar w:fldCharType="end"/>
      </w:r>
      <w:r w:rsidRPr="0097670D">
        <w:rPr>
          <w:sz w:val="22"/>
          <w:szCs w:val="22"/>
        </w:rPr>
        <w:t>, as described in the literature review section, and considered the potential margin of value contribution of the patients. For example, for a dental extraction, the patient cannot do a lot to ‘co-produce’ value, other than taking antibiotics and following correct oral hygiene practices. In contrast, when the patient had more responsibility for the success of the care process, such as in the case of metabolism-related illnesses, the potential for value co-creation (but also value destruction if they do not follow the medical indications) is much higher.</w:t>
      </w:r>
    </w:p>
    <w:bookmarkEnd w:id="12"/>
    <w:p w14:paraId="10F82556" w14:textId="7E3B6D33" w:rsidR="002147D8" w:rsidRPr="0097670D" w:rsidRDefault="00890C24">
      <w:pPr>
        <w:pStyle w:val="Corpotesto"/>
        <w:spacing w:before="0" w:line="480" w:lineRule="auto"/>
        <w:ind w:firstLine="284"/>
        <w:rPr>
          <w:sz w:val="22"/>
          <w:szCs w:val="22"/>
        </w:rPr>
      </w:pPr>
      <w:r w:rsidRPr="0097670D">
        <w:rPr>
          <w:sz w:val="22"/>
          <w:szCs w:val="22"/>
        </w:rPr>
        <w:t>The third and final level of coding was focused on the systematic selection of the characteristics that emerged as the most frequent and relevant for both patient and physician perspectives.</w:t>
      </w:r>
    </w:p>
    <w:p w14:paraId="1ABD0F23" w14:textId="7803447C" w:rsidR="002147D8" w:rsidRPr="0097670D" w:rsidRDefault="00890C24">
      <w:pPr>
        <w:pStyle w:val="Corpotesto"/>
        <w:spacing w:line="480" w:lineRule="auto"/>
        <w:ind w:firstLine="284"/>
        <w:rPr>
          <w:sz w:val="22"/>
          <w:szCs w:val="22"/>
        </w:rPr>
      </w:pPr>
      <w:r w:rsidRPr="0097670D">
        <w:rPr>
          <w:sz w:val="22"/>
          <w:szCs w:val="22"/>
        </w:rPr>
        <w:t xml:space="preserve">Some examples of the coding process are reported in Appendix 3. </w:t>
      </w:r>
      <w:bookmarkStart w:id="14" w:name="_Hlk61267811"/>
      <w:r w:rsidRPr="0097670D">
        <w:rPr>
          <w:sz w:val="22"/>
          <w:szCs w:val="22"/>
        </w:rPr>
        <w:t xml:space="preserve">Just to cite one of them, an internist declared: </w:t>
      </w:r>
      <w:r w:rsidR="00166EFD" w:rsidRPr="0097670D">
        <w:rPr>
          <w:sz w:val="22"/>
          <w:szCs w:val="22"/>
        </w:rPr>
        <w:t>“</w:t>
      </w:r>
      <w:r w:rsidR="00C83859" w:rsidRPr="0097670D">
        <w:rPr>
          <w:i/>
          <w:iCs/>
          <w:sz w:val="22"/>
          <w:szCs w:val="22"/>
        </w:rPr>
        <w:t>[</w:t>
      </w:r>
      <w:proofErr w:type="gramStart"/>
      <w:r w:rsidRPr="0097670D">
        <w:rPr>
          <w:i/>
          <w:iCs/>
          <w:sz w:val="22"/>
          <w:szCs w:val="22"/>
        </w:rPr>
        <w:t>…</w:t>
      </w:r>
      <w:r w:rsidR="00C83859" w:rsidRPr="0097670D">
        <w:rPr>
          <w:i/>
          <w:iCs/>
          <w:sz w:val="22"/>
          <w:szCs w:val="22"/>
        </w:rPr>
        <w:t>]</w:t>
      </w:r>
      <w:r w:rsidRPr="0097670D">
        <w:rPr>
          <w:i/>
          <w:iCs/>
          <w:sz w:val="22"/>
          <w:szCs w:val="22"/>
        </w:rPr>
        <w:t>I</w:t>
      </w:r>
      <w:proofErr w:type="gramEnd"/>
      <w:r w:rsidRPr="0097670D">
        <w:rPr>
          <w:i/>
          <w:iCs/>
          <w:sz w:val="22"/>
          <w:szCs w:val="22"/>
        </w:rPr>
        <w:t xml:space="preserve"> think that is fundamental, that the therapy has to be adapted to the patient’s needs, otherwise they will not be compliant. </w:t>
      </w:r>
      <w:r w:rsidR="00C83859" w:rsidRPr="0097670D">
        <w:rPr>
          <w:i/>
          <w:iCs/>
          <w:sz w:val="22"/>
          <w:szCs w:val="22"/>
        </w:rPr>
        <w:t>[</w:t>
      </w:r>
      <w:r w:rsidRPr="0097670D">
        <w:rPr>
          <w:i/>
          <w:iCs/>
          <w:sz w:val="22"/>
          <w:szCs w:val="22"/>
        </w:rPr>
        <w:t>…</w:t>
      </w:r>
      <w:r w:rsidR="00C83859" w:rsidRPr="0097670D">
        <w:rPr>
          <w:i/>
          <w:iCs/>
          <w:sz w:val="22"/>
          <w:szCs w:val="22"/>
        </w:rPr>
        <w:t>]</w:t>
      </w:r>
      <w:r w:rsidRPr="0097670D">
        <w:rPr>
          <w:i/>
          <w:iCs/>
          <w:sz w:val="22"/>
          <w:szCs w:val="22"/>
        </w:rPr>
        <w:t xml:space="preserve"> When a patient complies with the therapy and pays attention to the diet, they immediately see the positive results on their quality of life. </w:t>
      </w:r>
      <w:r w:rsidR="00C83859" w:rsidRPr="0097670D">
        <w:rPr>
          <w:i/>
          <w:iCs/>
          <w:sz w:val="22"/>
          <w:szCs w:val="22"/>
        </w:rPr>
        <w:t>[</w:t>
      </w:r>
      <w:r w:rsidRPr="0097670D">
        <w:rPr>
          <w:i/>
          <w:iCs/>
          <w:sz w:val="22"/>
          <w:szCs w:val="22"/>
        </w:rPr>
        <w:t>…</w:t>
      </w:r>
      <w:r w:rsidR="00C83859" w:rsidRPr="0097670D">
        <w:rPr>
          <w:i/>
          <w:iCs/>
          <w:sz w:val="22"/>
          <w:szCs w:val="22"/>
        </w:rPr>
        <w:t>]</w:t>
      </w:r>
      <w:r w:rsidRPr="0097670D">
        <w:rPr>
          <w:i/>
          <w:iCs/>
          <w:sz w:val="22"/>
          <w:szCs w:val="22"/>
        </w:rPr>
        <w:t xml:space="preserve"> When you give attention to the patients, they feel more satisfied, and as consequence, </w:t>
      </w:r>
      <w:r w:rsidRPr="0097670D">
        <w:rPr>
          <w:i/>
          <w:iCs/>
          <w:sz w:val="22"/>
          <w:szCs w:val="22"/>
        </w:rPr>
        <w:lastRenderedPageBreak/>
        <w:t>we feel less pressure from the risk of lawsuits.</w:t>
      </w:r>
      <w:r w:rsidR="00166EFD" w:rsidRPr="0097670D">
        <w:rPr>
          <w:sz w:val="22"/>
          <w:szCs w:val="22"/>
        </w:rPr>
        <w:t>”</w:t>
      </w:r>
      <w:r w:rsidRPr="0097670D">
        <w:rPr>
          <w:i/>
          <w:iCs/>
          <w:sz w:val="22"/>
          <w:szCs w:val="22"/>
        </w:rPr>
        <w:t xml:space="preserve"> </w:t>
      </w:r>
      <w:r w:rsidRPr="0097670D">
        <w:rPr>
          <w:sz w:val="22"/>
        </w:rPr>
        <w:t>A</w:t>
      </w:r>
      <w:r w:rsidRPr="0097670D">
        <w:rPr>
          <w:sz w:val="22"/>
          <w:szCs w:val="22"/>
        </w:rPr>
        <w:t xml:space="preserve">t the first level of coding, we identified ‘attention to patients needs’ and ‘service personalization’, and then we attributed a coding of ‘VCC HIGH’ according to the two value co-creation themes proposed by </w:t>
      </w:r>
      <w:r w:rsidRPr="0097670D">
        <w:rPr>
          <w:sz w:val="22"/>
          <w:szCs w:val="22"/>
        </w:rPr>
        <w:fldChar w:fldCharType="begin" w:fldLock="1"/>
      </w:r>
      <w:r w:rsidRPr="0097670D">
        <w:rPr>
          <w:sz w:val="22"/>
          <w:szCs w:val="22"/>
        </w:rPr>
        <w:instrText>ADDIN CSL_CITATION {"citationItems":[{"id":"ITEM-1","itemData":{"DOI":"10.1177/1094670512442806","ISSN":"10946705","abstract":"This article explores in-depth what health care customers actually do when they cocreate value. Combining previously published research with data collected from depth interviews, field observation, and focus groups, the authors identify distinct styles of health care customer value cocreation practice. Importantly, the authors show how customers can contribute to their own value creation through their own (self) activities in managing their health care. Building on past work in service-dominant (S-D) logic, consumer culture theory and social practice theory, the authors identify \"roles,\" \"activities,\" and \"interactions\" that underlie customer cocreation of value in health care. The authors uncover five groupings of customer value cocreation practices yielding a typology of practice styles and link these to quality of life. The practice styles are \"team management,\" \"insular controlling,\" \"partnering,\" \"pragmatic adapting,\" and \"passive compliance.\" Two in particular, team management and partnering, should be encouraged by managers as they tend to be associated with higher quality of life. The authors provide a health care Customer Value Cocreation Practice Styles (CVCPS) typology. The usefulness of the typology is demonstrated by showing links to quality of life and its potential application to other health care settings. © The Author(s) 2012.","author":[{"dropping-particle":"","family":"McColl-Kennedy","given":"Janet R.","non-dropping-particle":"","parse-names":false,"suffix":""},{"dropping-particle":"","family":"Vargo","given":"Stephen L.","non-dropping-particle":"","parse-names":false,"suffix":""},{"dropping-particle":"","family":"Dagger","given":"Tracey S.","non-dropping-particle":"","parse-names":false,"suffix":""},{"dropping-particle":"","family":"Sweeney","given":"Jillian C.","non-dropping-particle":"","parse-names":false,"suffix":""},{"dropping-particle":"","family":"Kasteren","given":"Yasmin","non-dropping-particle":"van","parse-names":false,"suffix":""}],"container-title":"Journal of Service Research","id":"ITEM-1","issue":"4","issued":{"date-parts":[["2012","11"]]},"page":"370-389","title":"Health Care Customer Value Cocreation Practice Styles","type":"article-journal","volume":"15"},"uris":["http://www.mendeley.com/documents/?uuid=21604ebe-bf57-3f7f-b4ef-39273b5c26ba"]}],"mendeley":{"formattedCitation":"(McColl-Kennedy et al., 2012)","manualFormatting":"McColl-Kennedy et al. (2012)","plainTextFormattedCitation":"(McColl-Kennedy et al., 2012)","previouslyFormattedCitation":"(McColl-Kennedy et al., 2012)"},"properties":{"noteIndex":0},"schema":"https://github.com/citation-style-language/schema/raw/master/csl-citation.json"}</w:instrText>
      </w:r>
      <w:r w:rsidRPr="0097670D">
        <w:rPr>
          <w:sz w:val="22"/>
          <w:szCs w:val="22"/>
        </w:rPr>
        <w:fldChar w:fldCharType="separate"/>
      </w:r>
      <w:r w:rsidRPr="0097670D">
        <w:rPr>
          <w:noProof/>
          <w:sz w:val="22"/>
          <w:szCs w:val="22"/>
        </w:rPr>
        <w:t xml:space="preserve">McColl-Kennedy </w:t>
      </w:r>
      <w:r w:rsidRPr="0097670D">
        <w:rPr>
          <w:i/>
          <w:iCs/>
          <w:noProof/>
          <w:sz w:val="22"/>
          <w:szCs w:val="22"/>
        </w:rPr>
        <w:t>et al.</w:t>
      </w:r>
      <w:r w:rsidRPr="0097670D">
        <w:rPr>
          <w:noProof/>
          <w:sz w:val="22"/>
          <w:szCs w:val="22"/>
        </w:rPr>
        <w:t xml:space="preserve"> (2012)</w:t>
      </w:r>
      <w:r w:rsidRPr="0097670D">
        <w:rPr>
          <w:sz w:val="22"/>
          <w:szCs w:val="22"/>
        </w:rPr>
        <w:fldChar w:fldCharType="end"/>
      </w:r>
      <w:r w:rsidRPr="0097670D">
        <w:rPr>
          <w:sz w:val="22"/>
          <w:szCs w:val="22"/>
        </w:rPr>
        <w:t>: ‘co-production’ and ‘changing ways of doing things’. We also attributed ‘DM LOW’, since the low risk of lawsuits disables defensive behaviours. At last, the third level of coding defines the archetypes according to the two dimensions under evaluation.</w:t>
      </w:r>
    </w:p>
    <w:bookmarkEnd w:id="14"/>
    <w:p w14:paraId="61FA82B6" w14:textId="77777777" w:rsidR="002147D8" w:rsidRPr="0097670D" w:rsidRDefault="002147D8">
      <w:pPr>
        <w:pStyle w:val="Corpotesto"/>
        <w:spacing w:before="0" w:line="480" w:lineRule="auto"/>
        <w:rPr>
          <w:sz w:val="22"/>
          <w:szCs w:val="22"/>
        </w:rPr>
      </w:pPr>
    </w:p>
    <w:p w14:paraId="62756784" w14:textId="77777777" w:rsidR="002147D8" w:rsidRPr="0097670D" w:rsidRDefault="00890C24">
      <w:pPr>
        <w:pStyle w:val="Corpotesto"/>
        <w:spacing w:before="0" w:line="480" w:lineRule="auto"/>
        <w:rPr>
          <w:b/>
          <w:sz w:val="22"/>
          <w:szCs w:val="22"/>
        </w:rPr>
      </w:pPr>
      <w:r w:rsidRPr="0097670D">
        <w:rPr>
          <w:b/>
          <w:sz w:val="22"/>
          <w:szCs w:val="22"/>
        </w:rPr>
        <w:t>Findings</w:t>
      </w:r>
    </w:p>
    <w:p w14:paraId="4D112644" w14:textId="353FA660" w:rsidR="002147D8" w:rsidRDefault="00890C24">
      <w:pPr>
        <w:pStyle w:val="Corpotesto"/>
        <w:spacing w:before="0" w:line="480" w:lineRule="auto"/>
        <w:rPr>
          <w:sz w:val="22"/>
          <w:szCs w:val="22"/>
        </w:rPr>
      </w:pPr>
      <w:r w:rsidRPr="0097670D">
        <w:rPr>
          <w:sz w:val="22"/>
          <w:szCs w:val="22"/>
        </w:rPr>
        <w:t>A preliminary result from the first coding analysis is that the identified characteristics refer to different relationship dimensions: patient, physician, patient and physician, or situational. These are presented below in Table II.</w:t>
      </w:r>
    </w:p>
    <w:p w14:paraId="65DE9102" w14:textId="77777777" w:rsidR="00543930" w:rsidRPr="0097670D" w:rsidRDefault="00543930">
      <w:pPr>
        <w:pStyle w:val="Corpotesto"/>
        <w:spacing w:before="0" w:line="480" w:lineRule="auto"/>
        <w:rPr>
          <w:sz w:val="22"/>
          <w:szCs w:val="22"/>
        </w:rPr>
      </w:pPr>
    </w:p>
    <w:p w14:paraId="25F5ED73" w14:textId="57B84745" w:rsidR="002147D8" w:rsidRPr="0097670D" w:rsidRDefault="00890C24">
      <w:pPr>
        <w:pStyle w:val="Didascalia"/>
        <w:keepNext/>
        <w:jc w:val="center"/>
        <w:rPr>
          <w:color w:val="auto"/>
          <w:sz w:val="22"/>
          <w:szCs w:val="22"/>
        </w:rPr>
      </w:pPr>
      <w:r w:rsidRPr="0097670D">
        <w:rPr>
          <w:color w:val="auto"/>
          <w:sz w:val="22"/>
          <w:szCs w:val="22"/>
        </w:rPr>
        <w:t>Table II – Dimensions of the patient–physician relationship characteristics</w:t>
      </w:r>
    </w:p>
    <w:tbl>
      <w:tblPr>
        <w:tblW w:w="84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71"/>
        <w:gridCol w:w="2438"/>
        <w:gridCol w:w="2098"/>
        <w:gridCol w:w="2041"/>
      </w:tblGrid>
      <w:tr w:rsidR="002147D8" w:rsidRPr="0097670D" w14:paraId="6DE86C95" w14:textId="77777777">
        <w:trPr>
          <w:trHeight w:val="850"/>
          <w:jc w:val="center"/>
        </w:trPr>
        <w:tc>
          <w:tcPr>
            <w:tcW w:w="187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A31A15" w14:textId="77777777" w:rsidR="002147D8" w:rsidRPr="0097670D" w:rsidRDefault="00890C24">
            <w:pPr>
              <w:jc w:val="center"/>
              <w:rPr>
                <w:b/>
                <w:bCs/>
                <w:color w:val="000000"/>
                <w:sz w:val="20"/>
                <w:szCs w:val="20"/>
              </w:rPr>
            </w:pPr>
            <w:r w:rsidRPr="0097670D">
              <w:rPr>
                <w:b/>
                <w:bCs/>
                <w:color w:val="000000"/>
                <w:sz w:val="20"/>
                <w:szCs w:val="20"/>
              </w:rPr>
              <w:t>Patient</w:t>
            </w:r>
          </w:p>
        </w:tc>
        <w:tc>
          <w:tcPr>
            <w:tcW w:w="24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2C9882" w14:textId="77777777" w:rsidR="002147D8" w:rsidRPr="0097670D" w:rsidRDefault="00890C24">
            <w:pPr>
              <w:jc w:val="center"/>
              <w:rPr>
                <w:b/>
                <w:bCs/>
                <w:color w:val="000000"/>
                <w:sz w:val="20"/>
                <w:szCs w:val="20"/>
              </w:rPr>
            </w:pPr>
            <w:r w:rsidRPr="0097670D">
              <w:rPr>
                <w:b/>
                <w:bCs/>
                <w:color w:val="000000"/>
                <w:sz w:val="20"/>
                <w:szCs w:val="20"/>
              </w:rPr>
              <w:t>Physician</w:t>
            </w:r>
          </w:p>
        </w:tc>
        <w:tc>
          <w:tcPr>
            <w:tcW w:w="20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E376E3" w14:textId="77777777" w:rsidR="002147D8" w:rsidRPr="0097670D" w:rsidRDefault="00890C24">
            <w:pPr>
              <w:jc w:val="center"/>
              <w:rPr>
                <w:b/>
                <w:bCs/>
                <w:color w:val="000000"/>
                <w:sz w:val="20"/>
                <w:szCs w:val="20"/>
              </w:rPr>
            </w:pPr>
            <w:r w:rsidRPr="0097670D">
              <w:rPr>
                <w:b/>
                <w:bCs/>
                <w:color w:val="000000"/>
                <w:sz w:val="20"/>
                <w:szCs w:val="20"/>
              </w:rPr>
              <w:t>Patient and Physician</w:t>
            </w:r>
          </w:p>
        </w:tc>
        <w:tc>
          <w:tcPr>
            <w:tcW w:w="2041" w:type="dxa"/>
            <w:tcBorders>
              <w:top w:val="single" w:sz="4" w:space="0" w:color="auto"/>
              <w:left w:val="single" w:sz="4" w:space="0" w:color="auto"/>
              <w:bottom w:val="single" w:sz="4" w:space="0" w:color="auto"/>
              <w:right w:val="single" w:sz="4" w:space="0" w:color="auto"/>
            </w:tcBorders>
            <w:vAlign w:val="center"/>
          </w:tcPr>
          <w:p w14:paraId="2054BD21" w14:textId="77777777" w:rsidR="002147D8" w:rsidRPr="0097670D" w:rsidRDefault="00890C24">
            <w:pPr>
              <w:jc w:val="center"/>
              <w:rPr>
                <w:b/>
                <w:bCs/>
                <w:color w:val="000000"/>
                <w:sz w:val="20"/>
                <w:szCs w:val="20"/>
              </w:rPr>
            </w:pPr>
            <w:r w:rsidRPr="0097670D">
              <w:rPr>
                <w:b/>
                <w:bCs/>
                <w:color w:val="000000"/>
                <w:sz w:val="20"/>
                <w:szCs w:val="20"/>
              </w:rPr>
              <w:t>Situational</w:t>
            </w:r>
          </w:p>
        </w:tc>
      </w:tr>
      <w:tr w:rsidR="002147D8" w:rsidRPr="0097670D" w14:paraId="73830D8F" w14:textId="77777777">
        <w:trPr>
          <w:trHeight w:val="680"/>
          <w:jc w:val="center"/>
        </w:trPr>
        <w:tc>
          <w:tcPr>
            <w:tcW w:w="1871" w:type="dxa"/>
            <w:tcBorders>
              <w:top w:val="single" w:sz="4" w:space="0" w:color="auto"/>
              <w:left w:val="single" w:sz="4" w:space="0" w:color="auto"/>
              <w:bottom w:val="nil"/>
              <w:right w:val="single" w:sz="4" w:space="0" w:color="auto"/>
            </w:tcBorders>
            <w:shd w:val="clear" w:color="auto" w:fill="auto"/>
            <w:noWrap/>
            <w:vAlign w:val="center"/>
          </w:tcPr>
          <w:p w14:paraId="089A88EB" w14:textId="77777777" w:rsidR="002147D8" w:rsidRPr="0097670D" w:rsidRDefault="00890C24">
            <w:pPr>
              <w:jc w:val="center"/>
              <w:rPr>
                <w:color w:val="000000"/>
                <w:sz w:val="20"/>
                <w:szCs w:val="20"/>
              </w:rPr>
            </w:pPr>
            <w:r w:rsidRPr="0097670D">
              <w:rPr>
                <w:color w:val="000000"/>
                <w:sz w:val="20"/>
                <w:szCs w:val="20"/>
              </w:rPr>
              <w:t>Demanding patient</w:t>
            </w:r>
          </w:p>
        </w:tc>
        <w:tc>
          <w:tcPr>
            <w:tcW w:w="2438" w:type="dxa"/>
            <w:tcBorders>
              <w:top w:val="single" w:sz="4" w:space="0" w:color="auto"/>
              <w:left w:val="single" w:sz="4" w:space="0" w:color="auto"/>
              <w:bottom w:val="nil"/>
              <w:right w:val="single" w:sz="4" w:space="0" w:color="auto"/>
            </w:tcBorders>
            <w:shd w:val="clear" w:color="auto" w:fill="auto"/>
            <w:noWrap/>
            <w:vAlign w:val="center"/>
          </w:tcPr>
          <w:p w14:paraId="2B834B5B" w14:textId="77777777" w:rsidR="002147D8" w:rsidRPr="0097670D" w:rsidRDefault="00890C24">
            <w:pPr>
              <w:jc w:val="center"/>
              <w:rPr>
                <w:color w:val="000000"/>
                <w:sz w:val="20"/>
                <w:szCs w:val="20"/>
              </w:rPr>
            </w:pPr>
            <w:r w:rsidRPr="0097670D">
              <w:rPr>
                <w:color w:val="000000"/>
                <w:sz w:val="20"/>
                <w:szCs w:val="20"/>
              </w:rPr>
              <w:t>Attention to patients’ needs</w:t>
            </w:r>
          </w:p>
        </w:tc>
        <w:tc>
          <w:tcPr>
            <w:tcW w:w="2098" w:type="dxa"/>
            <w:tcBorders>
              <w:top w:val="single" w:sz="4" w:space="0" w:color="auto"/>
              <w:left w:val="single" w:sz="4" w:space="0" w:color="auto"/>
              <w:bottom w:val="nil"/>
              <w:right w:val="single" w:sz="4" w:space="0" w:color="auto"/>
            </w:tcBorders>
            <w:shd w:val="clear" w:color="auto" w:fill="auto"/>
            <w:noWrap/>
            <w:vAlign w:val="center"/>
            <w:hideMark/>
          </w:tcPr>
          <w:p w14:paraId="66EEAD6F" w14:textId="77777777" w:rsidR="002147D8" w:rsidRPr="0097670D" w:rsidRDefault="00890C24">
            <w:pPr>
              <w:jc w:val="center"/>
              <w:rPr>
                <w:color w:val="000000"/>
                <w:sz w:val="20"/>
                <w:szCs w:val="20"/>
              </w:rPr>
            </w:pPr>
            <w:r w:rsidRPr="0097670D">
              <w:rPr>
                <w:color w:val="000000"/>
                <w:sz w:val="20"/>
                <w:szCs w:val="20"/>
              </w:rPr>
              <w:t>Attention to dialogue</w:t>
            </w:r>
          </w:p>
        </w:tc>
        <w:tc>
          <w:tcPr>
            <w:tcW w:w="2041" w:type="dxa"/>
            <w:tcBorders>
              <w:top w:val="single" w:sz="4" w:space="0" w:color="auto"/>
              <w:left w:val="single" w:sz="4" w:space="0" w:color="auto"/>
              <w:bottom w:val="nil"/>
              <w:right w:val="single" w:sz="4" w:space="0" w:color="auto"/>
            </w:tcBorders>
            <w:vAlign w:val="center"/>
          </w:tcPr>
          <w:p w14:paraId="6D80712F" w14:textId="77777777" w:rsidR="002147D8" w:rsidRPr="0097670D" w:rsidRDefault="00890C24">
            <w:pPr>
              <w:jc w:val="center"/>
              <w:rPr>
                <w:color w:val="000000"/>
                <w:sz w:val="20"/>
                <w:szCs w:val="20"/>
              </w:rPr>
            </w:pPr>
            <w:r w:rsidRPr="0097670D">
              <w:rPr>
                <w:color w:val="000000"/>
                <w:sz w:val="20"/>
                <w:szCs w:val="20"/>
              </w:rPr>
              <w:t>Relationship length</w:t>
            </w:r>
          </w:p>
        </w:tc>
      </w:tr>
      <w:tr w:rsidR="002147D8" w:rsidRPr="0097670D" w14:paraId="2CFC8352" w14:textId="77777777">
        <w:trPr>
          <w:trHeight w:val="680"/>
          <w:jc w:val="center"/>
        </w:trPr>
        <w:tc>
          <w:tcPr>
            <w:tcW w:w="1871" w:type="dxa"/>
            <w:tcBorders>
              <w:top w:val="nil"/>
              <w:left w:val="single" w:sz="4" w:space="0" w:color="auto"/>
              <w:bottom w:val="nil"/>
              <w:right w:val="single" w:sz="4" w:space="0" w:color="auto"/>
            </w:tcBorders>
            <w:shd w:val="clear" w:color="auto" w:fill="auto"/>
            <w:noWrap/>
            <w:vAlign w:val="center"/>
          </w:tcPr>
          <w:p w14:paraId="05AC1FF6" w14:textId="77777777" w:rsidR="002147D8" w:rsidRPr="0097670D" w:rsidRDefault="00890C24">
            <w:pPr>
              <w:jc w:val="center"/>
              <w:rPr>
                <w:color w:val="000000"/>
                <w:sz w:val="20"/>
                <w:szCs w:val="20"/>
              </w:rPr>
            </w:pPr>
            <w:r w:rsidRPr="0097670D">
              <w:rPr>
                <w:color w:val="000000"/>
                <w:sz w:val="20"/>
                <w:szCs w:val="20"/>
              </w:rPr>
              <w:t>Patient control</w:t>
            </w:r>
          </w:p>
        </w:tc>
        <w:tc>
          <w:tcPr>
            <w:tcW w:w="2438" w:type="dxa"/>
            <w:tcBorders>
              <w:top w:val="nil"/>
              <w:left w:val="single" w:sz="4" w:space="0" w:color="auto"/>
              <w:bottom w:val="nil"/>
              <w:right w:val="single" w:sz="4" w:space="0" w:color="auto"/>
            </w:tcBorders>
            <w:shd w:val="clear" w:color="auto" w:fill="auto"/>
            <w:noWrap/>
            <w:vAlign w:val="center"/>
          </w:tcPr>
          <w:p w14:paraId="3752E155" w14:textId="77777777" w:rsidR="002147D8" w:rsidRPr="0097670D" w:rsidRDefault="00890C24">
            <w:pPr>
              <w:jc w:val="center"/>
              <w:rPr>
                <w:color w:val="000000"/>
                <w:sz w:val="20"/>
                <w:szCs w:val="20"/>
              </w:rPr>
            </w:pPr>
            <w:r w:rsidRPr="0097670D">
              <w:rPr>
                <w:color w:val="000000"/>
                <w:sz w:val="20"/>
                <w:szCs w:val="20"/>
              </w:rPr>
              <w:t>Physician control</w:t>
            </w:r>
          </w:p>
        </w:tc>
        <w:tc>
          <w:tcPr>
            <w:tcW w:w="2098" w:type="dxa"/>
            <w:tcBorders>
              <w:top w:val="nil"/>
              <w:left w:val="single" w:sz="4" w:space="0" w:color="auto"/>
              <w:bottom w:val="nil"/>
              <w:right w:val="single" w:sz="4" w:space="0" w:color="auto"/>
            </w:tcBorders>
            <w:shd w:val="clear" w:color="auto" w:fill="auto"/>
            <w:noWrap/>
            <w:vAlign w:val="center"/>
          </w:tcPr>
          <w:p w14:paraId="019B3FDE" w14:textId="77777777" w:rsidR="002147D8" w:rsidRPr="0097670D" w:rsidRDefault="00890C24">
            <w:pPr>
              <w:jc w:val="center"/>
              <w:rPr>
                <w:color w:val="000000"/>
                <w:sz w:val="20"/>
                <w:szCs w:val="20"/>
              </w:rPr>
            </w:pPr>
            <w:r w:rsidRPr="0097670D">
              <w:rPr>
                <w:color w:val="000000"/>
                <w:sz w:val="20"/>
                <w:szCs w:val="20"/>
              </w:rPr>
              <w:t>Information asymmetry</w:t>
            </w:r>
          </w:p>
        </w:tc>
        <w:tc>
          <w:tcPr>
            <w:tcW w:w="2041" w:type="dxa"/>
            <w:tcBorders>
              <w:top w:val="nil"/>
              <w:left w:val="single" w:sz="4" w:space="0" w:color="auto"/>
              <w:bottom w:val="nil"/>
              <w:right w:val="single" w:sz="4" w:space="0" w:color="auto"/>
            </w:tcBorders>
            <w:vAlign w:val="center"/>
          </w:tcPr>
          <w:p w14:paraId="3BEDCDCA" w14:textId="77777777" w:rsidR="002147D8" w:rsidRPr="0097670D" w:rsidRDefault="00890C24">
            <w:pPr>
              <w:jc w:val="center"/>
              <w:rPr>
                <w:color w:val="000000"/>
                <w:sz w:val="20"/>
                <w:szCs w:val="20"/>
              </w:rPr>
            </w:pPr>
            <w:r w:rsidRPr="0097670D">
              <w:rPr>
                <w:color w:val="000000"/>
                <w:sz w:val="20"/>
                <w:szCs w:val="20"/>
              </w:rPr>
              <w:t>Risk of lawsuits</w:t>
            </w:r>
          </w:p>
        </w:tc>
      </w:tr>
      <w:tr w:rsidR="002147D8" w:rsidRPr="0097670D" w14:paraId="6FB0F439" w14:textId="77777777">
        <w:trPr>
          <w:trHeight w:val="680"/>
          <w:jc w:val="center"/>
        </w:trPr>
        <w:tc>
          <w:tcPr>
            <w:tcW w:w="1871" w:type="dxa"/>
            <w:tcBorders>
              <w:top w:val="nil"/>
              <w:left w:val="single" w:sz="4" w:space="0" w:color="auto"/>
              <w:bottom w:val="nil"/>
              <w:right w:val="single" w:sz="4" w:space="0" w:color="auto"/>
            </w:tcBorders>
            <w:shd w:val="clear" w:color="auto" w:fill="auto"/>
            <w:noWrap/>
            <w:vAlign w:val="center"/>
          </w:tcPr>
          <w:p w14:paraId="6E46A3EC" w14:textId="77777777" w:rsidR="002147D8" w:rsidRPr="0097670D" w:rsidRDefault="00890C24">
            <w:pPr>
              <w:jc w:val="center"/>
              <w:rPr>
                <w:color w:val="000000"/>
                <w:sz w:val="20"/>
                <w:szCs w:val="20"/>
              </w:rPr>
            </w:pPr>
            <w:r w:rsidRPr="0097670D">
              <w:rPr>
                <w:color w:val="000000"/>
                <w:sz w:val="20"/>
                <w:szCs w:val="20"/>
              </w:rPr>
              <w:t>Patient curiosity</w:t>
            </w:r>
          </w:p>
        </w:tc>
        <w:tc>
          <w:tcPr>
            <w:tcW w:w="2438" w:type="dxa"/>
            <w:tcBorders>
              <w:top w:val="nil"/>
              <w:left w:val="single" w:sz="4" w:space="0" w:color="auto"/>
              <w:bottom w:val="nil"/>
              <w:right w:val="single" w:sz="4" w:space="0" w:color="auto"/>
            </w:tcBorders>
            <w:shd w:val="clear" w:color="auto" w:fill="auto"/>
            <w:noWrap/>
            <w:vAlign w:val="center"/>
          </w:tcPr>
          <w:p w14:paraId="270B8B59" w14:textId="77777777" w:rsidR="002147D8" w:rsidRPr="0097670D" w:rsidRDefault="00890C24">
            <w:pPr>
              <w:jc w:val="center"/>
              <w:rPr>
                <w:color w:val="000000"/>
                <w:sz w:val="20"/>
                <w:szCs w:val="20"/>
              </w:rPr>
            </w:pPr>
            <w:r w:rsidRPr="0097670D">
              <w:rPr>
                <w:color w:val="000000"/>
                <w:sz w:val="20"/>
                <w:szCs w:val="20"/>
              </w:rPr>
              <w:t>Physician empathy</w:t>
            </w:r>
          </w:p>
        </w:tc>
        <w:tc>
          <w:tcPr>
            <w:tcW w:w="2098" w:type="dxa"/>
            <w:tcBorders>
              <w:top w:val="nil"/>
              <w:left w:val="single" w:sz="4" w:space="0" w:color="auto"/>
              <w:bottom w:val="nil"/>
              <w:right w:val="single" w:sz="4" w:space="0" w:color="auto"/>
            </w:tcBorders>
            <w:shd w:val="clear" w:color="auto" w:fill="auto"/>
            <w:noWrap/>
            <w:vAlign w:val="center"/>
          </w:tcPr>
          <w:p w14:paraId="00ED9D7E" w14:textId="77777777" w:rsidR="002147D8" w:rsidRPr="0097670D" w:rsidRDefault="00890C24">
            <w:pPr>
              <w:jc w:val="center"/>
              <w:rPr>
                <w:color w:val="000000"/>
                <w:sz w:val="20"/>
                <w:szCs w:val="20"/>
              </w:rPr>
            </w:pPr>
            <w:r w:rsidRPr="0097670D">
              <w:rPr>
                <w:color w:val="000000"/>
                <w:sz w:val="20"/>
                <w:szCs w:val="20"/>
              </w:rPr>
              <w:t>Patient engagement</w:t>
            </w:r>
          </w:p>
        </w:tc>
        <w:tc>
          <w:tcPr>
            <w:tcW w:w="2041" w:type="dxa"/>
            <w:tcBorders>
              <w:top w:val="nil"/>
              <w:left w:val="single" w:sz="4" w:space="0" w:color="auto"/>
              <w:bottom w:val="nil"/>
              <w:right w:val="single" w:sz="4" w:space="0" w:color="auto"/>
            </w:tcBorders>
            <w:vAlign w:val="center"/>
          </w:tcPr>
          <w:p w14:paraId="36BF9B2E" w14:textId="77777777" w:rsidR="002147D8" w:rsidRPr="0097670D" w:rsidRDefault="00890C24">
            <w:pPr>
              <w:jc w:val="center"/>
              <w:rPr>
                <w:color w:val="000000"/>
                <w:sz w:val="20"/>
                <w:szCs w:val="20"/>
              </w:rPr>
            </w:pPr>
            <w:r w:rsidRPr="0097670D">
              <w:rPr>
                <w:color w:val="000000"/>
                <w:sz w:val="20"/>
                <w:szCs w:val="20"/>
              </w:rPr>
              <w:t>Service personalization</w:t>
            </w:r>
          </w:p>
        </w:tc>
      </w:tr>
      <w:tr w:rsidR="002147D8" w:rsidRPr="0097670D" w14:paraId="1DBE27B7" w14:textId="77777777">
        <w:trPr>
          <w:trHeight w:val="680"/>
          <w:jc w:val="center"/>
        </w:trPr>
        <w:tc>
          <w:tcPr>
            <w:tcW w:w="1871" w:type="dxa"/>
            <w:tcBorders>
              <w:top w:val="nil"/>
              <w:left w:val="single" w:sz="4" w:space="0" w:color="auto"/>
              <w:bottom w:val="single" w:sz="4" w:space="0" w:color="auto"/>
              <w:right w:val="single" w:sz="4" w:space="0" w:color="auto"/>
            </w:tcBorders>
            <w:shd w:val="clear" w:color="auto" w:fill="auto"/>
            <w:noWrap/>
            <w:vAlign w:val="center"/>
          </w:tcPr>
          <w:p w14:paraId="72962311" w14:textId="77777777" w:rsidR="002147D8" w:rsidRPr="0097670D" w:rsidRDefault="002147D8">
            <w:pPr>
              <w:jc w:val="center"/>
              <w:rPr>
                <w:color w:val="000000"/>
                <w:sz w:val="20"/>
                <w:szCs w:val="20"/>
              </w:rPr>
            </w:pPr>
          </w:p>
        </w:tc>
        <w:tc>
          <w:tcPr>
            <w:tcW w:w="2438" w:type="dxa"/>
            <w:tcBorders>
              <w:top w:val="nil"/>
              <w:left w:val="single" w:sz="4" w:space="0" w:color="auto"/>
              <w:bottom w:val="single" w:sz="4" w:space="0" w:color="auto"/>
              <w:right w:val="single" w:sz="4" w:space="0" w:color="auto"/>
            </w:tcBorders>
            <w:shd w:val="clear" w:color="auto" w:fill="auto"/>
            <w:noWrap/>
            <w:vAlign w:val="center"/>
          </w:tcPr>
          <w:p w14:paraId="04CC46D4" w14:textId="77777777" w:rsidR="002147D8" w:rsidRPr="0097670D" w:rsidRDefault="002147D8">
            <w:pPr>
              <w:jc w:val="center"/>
              <w:rPr>
                <w:color w:val="000000"/>
                <w:sz w:val="20"/>
                <w:szCs w:val="20"/>
              </w:rPr>
            </w:pPr>
          </w:p>
        </w:tc>
        <w:tc>
          <w:tcPr>
            <w:tcW w:w="2098" w:type="dxa"/>
            <w:tcBorders>
              <w:top w:val="nil"/>
              <w:left w:val="single" w:sz="4" w:space="0" w:color="auto"/>
              <w:bottom w:val="single" w:sz="4" w:space="0" w:color="auto"/>
              <w:right w:val="single" w:sz="4" w:space="0" w:color="auto"/>
            </w:tcBorders>
            <w:shd w:val="clear" w:color="auto" w:fill="auto"/>
            <w:noWrap/>
            <w:vAlign w:val="center"/>
          </w:tcPr>
          <w:p w14:paraId="2BC5EC0A" w14:textId="77777777" w:rsidR="002147D8" w:rsidRPr="0097670D" w:rsidRDefault="00890C24">
            <w:pPr>
              <w:jc w:val="center"/>
              <w:rPr>
                <w:color w:val="000000"/>
                <w:sz w:val="20"/>
                <w:szCs w:val="20"/>
              </w:rPr>
            </w:pPr>
            <w:r w:rsidRPr="0097670D">
              <w:rPr>
                <w:color w:val="000000"/>
                <w:sz w:val="20"/>
                <w:szCs w:val="20"/>
              </w:rPr>
              <w:t>Trust</w:t>
            </w:r>
          </w:p>
        </w:tc>
        <w:tc>
          <w:tcPr>
            <w:tcW w:w="2041" w:type="dxa"/>
            <w:tcBorders>
              <w:top w:val="nil"/>
              <w:left w:val="single" w:sz="4" w:space="0" w:color="auto"/>
              <w:bottom w:val="single" w:sz="4" w:space="0" w:color="auto"/>
              <w:right w:val="single" w:sz="4" w:space="0" w:color="auto"/>
            </w:tcBorders>
          </w:tcPr>
          <w:p w14:paraId="62FCF7E0" w14:textId="77777777" w:rsidR="002147D8" w:rsidRPr="0097670D" w:rsidRDefault="002147D8">
            <w:pPr>
              <w:jc w:val="center"/>
              <w:rPr>
                <w:color w:val="000000"/>
                <w:sz w:val="20"/>
                <w:szCs w:val="20"/>
              </w:rPr>
            </w:pPr>
          </w:p>
        </w:tc>
      </w:tr>
    </w:tbl>
    <w:p w14:paraId="5E9C505F" w14:textId="77777777" w:rsidR="00543930" w:rsidRPr="0097670D" w:rsidRDefault="00543930">
      <w:pPr>
        <w:pStyle w:val="Corpotesto"/>
        <w:spacing w:before="0" w:line="480" w:lineRule="auto"/>
        <w:rPr>
          <w:sz w:val="22"/>
          <w:szCs w:val="22"/>
        </w:rPr>
      </w:pPr>
    </w:p>
    <w:p w14:paraId="4E0A36BB" w14:textId="031B1874" w:rsidR="002147D8" w:rsidRPr="0097670D" w:rsidRDefault="00890C24">
      <w:pPr>
        <w:pStyle w:val="Corpotesto"/>
        <w:spacing w:before="0" w:line="480" w:lineRule="auto"/>
        <w:ind w:firstLine="284"/>
        <w:rPr>
          <w:sz w:val="22"/>
          <w:szCs w:val="22"/>
        </w:rPr>
      </w:pPr>
      <w:r w:rsidRPr="0097670D">
        <w:rPr>
          <w:sz w:val="22"/>
          <w:szCs w:val="22"/>
        </w:rPr>
        <w:t>This classification shows how different aspects coalesce in characterizing the patient–physician relationship: Some of them refer only to patients or only to physicians, while others are valid for both or are circumstantial.</w:t>
      </w:r>
    </w:p>
    <w:p w14:paraId="78E275FA" w14:textId="4CD9CE50" w:rsidR="002147D8" w:rsidRPr="0097670D" w:rsidRDefault="00890C24">
      <w:pPr>
        <w:pStyle w:val="Corpotesto"/>
        <w:spacing w:before="0" w:line="480" w:lineRule="auto"/>
        <w:ind w:firstLine="284"/>
        <w:rPr>
          <w:sz w:val="22"/>
          <w:szCs w:val="22"/>
        </w:rPr>
      </w:pPr>
      <w:r w:rsidRPr="0097670D">
        <w:rPr>
          <w:sz w:val="22"/>
          <w:szCs w:val="22"/>
        </w:rPr>
        <w:t xml:space="preserve">The coding activity allowed us to associate the identified characteristics with a degree of VCC according to the notions of </w:t>
      </w:r>
      <w:r w:rsidRPr="0097670D">
        <w:rPr>
          <w:sz w:val="22"/>
          <w:szCs w:val="22"/>
        </w:rPr>
        <w:fldChar w:fldCharType="begin" w:fldLock="1"/>
      </w:r>
      <w:r w:rsidRPr="0097670D">
        <w:rPr>
          <w:sz w:val="22"/>
          <w:szCs w:val="22"/>
        </w:rPr>
        <w:instrText>ADDIN CSL_CITATION {"citationItems":[{"id":"ITEM-1","itemData":{"DOI":"10.1177/1094670512442806","ISSN":"10946705","abstract":"This article explores in-depth what health care customers actually do when they cocreate value. Combining previously published research with data collected from depth interviews, field observation, and focus groups, the authors identify distinct styles of health care customer value cocreation practice. Importantly, the authors show how customers can contribute to their own value creation through their own (self) activities in managing their health care. Building on past work in service-dominant (S-D) logic, consumer culture theory and social practice theory, the authors identify \"roles,\" \"activities,\" and \"interactions\" that underlie customer cocreation of value in health care. The authors uncover five groupings of customer value cocreation practices yielding a typology of practice styles and link these to quality of life. The practice styles are \"team management,\" \"insular controlling,\" \"partnering,\" \"pragmatic adapting,\" and \"passive compliance.\" Two in particular, team management and partnering, should be encouraged by managers as they tend to be associated with higher quality of life. The authors provide a health care Customer Value Cocreation Practice Styles (CVCPS) typology. The usefulness of the typology is demonstrated by showing links to quality of life and its potential application to other health care settings. © The Author(s) 2012.","author":[{"dropping-particle":"","family":"McColl-Kennedy","given":"Janet R.","non-dropping-particle":"","parse-names":false,"suffix":""},{"dropping-particle":"","family":"Vargo","given":"Stephen L.","non-dropping-particle":"","parse-names":false,"suffix":""},{"dropping-particle":"","family":"Dagger","given":"Tracey S.","non-dropping-particle":"","parse-names":false,"suffix":""},{"dropping-particle":"","family":"Sweeney","given":"Jillian C.","non-dropping-particle":"","parse-names":false,"suffix":""},{"dropping-particle":"","family":"Kasteren","given":"Yasmin","non-dropping-particle":"van","parse-names":false,"suffix":""}],"container-title":"Journal of Service Research","id":"ITEM-1","issue":"4","issued":{"date-parts":[["2012","11"]]},"page":"370-389","title":"Health Care Customer Value Cocreation Practice Styles","type":"article-journal","volume":"15"},"uris":["http://www.mendeley.com/documents/?uuid=21604ebe-bf57-3f7f-b4ef-39273b5c26ba"]}],"mendeley":{"formattedCitation":"(McColl-Kennedy et al., 2012)","manualFormatting":"McColl-Kennedy et al. (2012)","plainTextFormattedCitation":"(McColl-Kennedy et al., 2012)","previouslyFormattedCitation":"(McColl-Kennedy et al., 2012)"},"properties":{"noteIndex":0},"schema":"https://github.com/citation-style-language/schema/raw/master/csl-citation.json"}</w:instrText>
      </w:r>
      <w:r w:rsidRPr="0097670D">
        <w:rPr>
          <w:sz w:val="22"/>
          <w:szCs w:val="22"/>
        </w:rPr>
        <w:fldChar w:fldCharType="separate"/>
      </w:r>
      <w:r w:rsidRPr="0097670D">
        <w:rPr>
          <w:noProof/>
          <w:sz w:val="22"/>
          <w:szCs w:val="22"/>
        </w:rPr>
        <w:t xml:space="preserve">McColl-Kennedy </w:t>
      </w:r>
      <w:r w:rsidRPr="0097670D">
        <w:rPr>
          <w:i/>
          <w:iCs/>
          <w:noProof/>
          <w:sz w:val="22"/>
          <w:szCs w:val="22"/>
        </w:rPr>
        <w:t>et al.</w:t>
      </w:r>
      <w:r w:rsidRPr="0097670D">
        <w:rPr>
          <w:noProof/>
          <w:sz w:val="22"/>
          <w:szCs w:val="22"/>
        </w:rPr>
        <w:t xml:space="preserve"> (2012)</w:t>
      </w:r>
      <w:r w:rsidRPr="0097670D">
        <w:rPr>
          <w:sz w:val="22"/>
          <w:szCs w:val="22"/>
        </w:rPr>
        <w:fldChar w:fldCharType="end"/>
      </w:r>
      <w:r w:rsidRPr="0097670D">
        <w:rPr>
          <w:sz w:val="22"/>
          <w:szCs w:val="22"/>
        </w:rPr>
        <w:t xml:space="preserve"> and to the risk of defensive behaviours. We then clustered the characteristics into four categories: Archetype 1 (low VCC, low DM); Archetype 2 (high VCC, low DM), Archetype 3 (high VCC, high DM), Archetype 4 (low VCC, </w:t>
      </w:r>
      <w:r w:rsidRPr="0097670D">
        <w:rPr>
          <w:sz w:val="22"/>
          <w:szCs w:val="22"/>
        </w:rPr>
        <w:lastRenderedPageBreak/>
        <w:t xml:space="preserve">high DM). These characteristics are listed in Table III, where we marked the characteristic results relevant to the specific archetype with an </w:t>
      </w:r>
      <w:r w:rsidR="00166EFD" w:rsidRPr="0097670D">
        <w:rPr>
          <w:sz w:val="22"/>
          <w:szCs w:val="22"/>
        </w:rPr>
        <w:t>‘</w:t>
      </w:r>
      <w:r w:rsidRPr="0097670D">
        <w:rPr>
          <w:sz w:val="22"/>
          <w:szCs w:val="22"/>
        </w:rPr>
        <w:t>X</w:t>
      </w:r>
      <w:r w:rsidR="00166EFD" w:rsidRPr="0097670D">
        <w:rPr>
          <w:sz w:val="22"/>
          <w:szCs w:val="22"/>
        </w:rPr>
        <w:t>’</w:t>
      </w:r>
      <w:r w:rsidRPr="0097670D">
        <w:rPr>
          <w:sz w:val="22"/>
          <w:szCs w:val="22"/>
        </w:rPr>
        <w:t xml:space="preserve"> if it is present or with a </w:t>
      </w:r>
      <w:r w:rsidR="00166EFD" w:rsidRPr="0097670D">
        <w:rPr>
          <w:sz w:val="22"/>
          <w:szCs w:val="22"/>
        </w:rPr>
        <w:t>‘</w:t>
      </w:r>
      <w:r w:rsidRPr="0097670D">
        <w:rPr>
          <w:sz w:val="22"/>
          <w:szCs w:val="22"/>
        </w:rPr>
        <w:t>-</w:t>
      </w:r>
      <w:r w:rsidR="00166EFD" w:rsidRPr="0097670D">
        <w:rPr>
          <w:sz w:val="22"/>
          <w:szCs w:val="22"/>
        </w:rPr>
        <w:t>’</w:t>
      </w:r>
      <w:r w:rsidRPr="0097670D">
        <w:rPr>
          <w:sz w:val="22"/>
          <w:szCs w:val="22"/>
        </w:rPr>
        <w:t xml:space="preserve"> if it is not. We also added a short comment to clarify in what way the characteristic is relevant when it is not obvious.</w:t>
      </w:r>
    </w:p>
    <w:p w14:paraId="22D4F40E" w14:textId="77777777" w:rsidR="002147D8" w:rsidRPr="0097670D" w:rsidRDefault="002147D8">
      <w:pPr>
        <w:pStyle w:val="Corpotesto"/>
        <w:spacing w:before="0"/>
        <w:rPr>
          <w:sz w:val="22"/>
          <w:szCs w:val="22"/>
        </w:rPr>
      </w:pPr>
    </w:p>
    <w:p w14:paraId="5EA376DB" w14:textId="77777777" w:rsidR="002147D8" w:rsidRPr="0097670D" w:rsidRDefault="00890C24">
      <w:pPr>
        <w:pStyle w:val="Didascalia"/>
        <w:keepNext/>
        <w:jc w:val="center"/>
        <w:rPr>
          <w:color w:val="auto"/>
          <w:sz w:val="22"/>
          <w:szCs w:val="22"/>
        </w:rPr>
      </w:pPr>
      <w:bookmarkStart w:id="15" w:name="_Hlk41383088"/>
      <w:r w:rsidRPr="0097670D">
        <w:rPr>
          <w:color w:val="auto"/>
          <w:sz w:val="22"/>
          <w:szCs w:val="22"/>
        </w:rPr>
        <w:t xml:space="preserve">Table III – </w:t>
      </w:r>
      <w:proofErr w:type="gramStart"/>
      <w:r w:rsidRPr="0097670D">
        <w:rPr>
          <w:color w:val="auto"/>
          <w:sz w:val="22"/>
          <w:szCs w:val="22"/>
        </w:rPr>
        <w:t>Archetypes</w:t>
      </w:r>
      <w:proofErr w:type="gramEnd"/>
      <w:r w:rsidRPr="0097670D">
        <w:rPr>
          <w:color w:val="auto"/>
          <w:sz w:val="22"/>
          <w:szCs w:val="22"/>
        </w:rPr>
        <w:t xml:space="preserve"> characteristics</w:t>
      </w:r>
    </w:p>
    <w:tbl>
      <w:tblPr>
        <w:tblW w:w="8471" w:type="dxa"/>
        <w:jc w:val="center"/>
        <w:tblCellMar>
          <w:left w:w="70" w:type="dxa"/>
          <w:right w:w="70" w:type="dxa"/>
        </w:tblCellMar>
        <w:tblLook w:val="04A0" w:firstRow="1" w:lastRow="0" w:firstColumn="1" w:lastColumn="0" w:noHBand="0" w:noVBand="1"/>
      </w:tblPr>
      <w:tblGrid>
        <w:gridCol w:w="1838"/>
        <w:gridCol w:w="1701"/>
        <w:gridCol w:w="1701"/>
        <w:gridCol w:w="1701"/>
        <w:gridCol w:w="1530"/>
      </w:tblGrid>
      <w:tr w:rsidR="002147D8" w:rsidRPr="0097670D" w14:paraId="7B093F71" w14:textId="77777777">
        <w:trPr>
          <w:trHeight w:val="326"/>
          <w:jc w:val="center"/>
        </w:trPr>
        <w:tc>
          <w:tcPr>
            <w:tcW w:w="183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40138B1F" w14:textId="77777777" w:rsidR="002147D8" w:rsidRPr="0097670D" w:rsidRDefault="00890C24">
            <w:pPr>
              <w:jc w:val="center"/>
              <w:rPr>
                <w:b/>
                <w:bCs/>
                <w:color w:val="000000"/>
                <w:sz w:val="20"/>
                <w:szCs w:val="20"/>
                <w:lang w:val="en-US" w:eastAsia="it-IT"/>
              </w:rPr>
            </w:pPr>
            <w:r w:rsidRPr="0097670D">
              <w:rPr>
                <w:b/>
                <w:bCs/>
                <w:color w:val="000000"/>
                <w:sz w:val="20"/>
                <w:szCs w:val="20"/>
              </w:rPr>
              <w:t>Characteristics</w:t>
            </w:r>
          </w:p>
        </w:tc>
        <w:tc>
          <w:tcPr>
            <w:tcW w:w="6633" w:type="dxa"/>
            <w:gridSpan w:val="4"/>
            <w:tcBorders>
              <w:top w:val="single" w:sz="4" w:space="0" w:color="auto"/>
              <w:left w:val="nil"/>
              <w:bottom w:val="single" w:sz="4" w:space="0" w:color="auto"/>
              <w:right w:val="single" w:sz="4" w:space="0" w:color="000000"/>
            </w:tcBorders>
            <w:shd w:val="clear" w:color="auto" w:fill="auto"/>
            <w:noWrap/>
            <w:vAlign w:val="center"/>
            <w:hideMark/>
          </w:tcPr>
          <w:p w14:paraId="48CCFCC0" w14:textId="77777777" w:rsidR="002147D8" w:rsidRPr="0097670D" w:rsidRDefault="00890C24">
            <w:pPr>
              <w:jc w:val="center"/>
              <w:rPr>
                <w:b/>
                <w:bCs/>
                <w:color w:val="000000"/>
                <w:sz w:val="20"/>
                <w:szCs w:val="20"/>
              </w:rPr>
            </w:pPr>
            <w:r w:rsidRPr="0097670D">
              <w:rPr>
                <w:b/>
                <w:bCs/>
                <w:color w:val="000000"/>
                <w:sz w:val="20"/>
                <w:szCs w:val="20"/>
              </w:rPr>
              <w:t>Patient–Physician Relationships</w:t>
            </w:r>
          </w:p>
        </w:tc>
      </w:tr>
      <w:tr w:rsidR="002147D8" w:rsidRPr="0097670D" w14:paraId="484ACF8E" w14:textId="77777777">
        <w:trPr>
          <w:trHeight w:val="300"/>
          <w:jc w:val="center"/>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2CD3CF42" w14:textId="77777777" w:rsidR="002147D8" w:rsidRPr="0097670D" w:rsidRDefault="002147D8">
            <w:pPr>
              <w:rPr>
                <w:b/>
                <w:bCs/>
                <w:color w:val="000000"/>
                <w:sz w:val="20"/>
                <w:szCs w:val="20"/>
              </w:rPr>
            </w:pPr>
          </w:p>
        </w:tc>
        <w:tc>
          <w:tcPr>
            <w:tcW w:w="1701" w:type="dxa"/>
            <w:tcBorders>
              <w:top w:val="nil"/>
              <w:left w:val="nil"/>
              <w:bottom w:val="single" w:sz="4" w:space="0" w:color="auto"/>
              <w:right w:val="single" w:sz="4" w:space="0" w:color="auto"/>
            </w:tcBorders>
            <w:shd w:val="clear" w:color="auto" w:fill="auto"/>
            <w:noWrap/>
            <w:vAlign w:val="center"/>
            <w:hideMark/>
          </w:tcPr>
          <w:p w14:paraId="54C2DE88" w14:textId="77777777" w:rsidR="002147D8" w:rsidRPr="0097670D" w:rsidRDefault="00890C24">
            <w:pPr>
              <w:jc w:val="center"/>
              <w:rPr>
                <w:b/>
                <w:bCs/>
                <w:color w:val="000000"/>
                <w:sz w:val="20"/>
                <w:szCs w:val="20"/>
              </w:rPr>
            </w:pPr>
            <w:r w:rsidRPr="0097670D">
              <w:rPr>
                <w:b/>
                <w:bCs/>
                <w:color w:val="000000"/>
                <w:sz w:val="20"/>
                <w:szCs w:val="20"/>
              </w:rPr>
              <w:t>Archetype 1</w:t>
            </w:r>
          </w:p>
          <w:p w14:paraId="52DFF327" w14:textId="77777777" w:rsidR="002147D8" w:rsidRPr="0097670D" w:rsidRDefault="002147D8">
            <w:pPr>
              <w:jc w:val="center"/>
              <w:rPr>
                <w:b/>
                <w:bCs/>
                <w:color w:val="000000"/>
                <w:sz w:val="20"/>
                <w:szCs w:val="20"/>
              </w:rPr>
            </w:pPr>
          </w:p>
          <w:p w14:paraId="748000A6" w14:textId="77777777" w:rsidR="002147D8" w:rsidRPr="0097670D" w:rsidRDefault="00890C24">
            <w:pPr>
              <w:jc w:val="center"/>
              <w:rPr>
                <w:b/>
                <w:bCs/>
                <w:color w:val="000000"/>
                <w:sz w:val="20"/>
                <w:szCs w:val="20"/>
              </w:rPr>
            </w:pPr>
            <w:r w:rsidRPr="0097670D">
              <w:rPr>
                <w:b/>
                <w:bCs/>
                <w:color w:val="000000"/>
                <w:sz w:val="20"/>
                <w:szCs w:val="20"/>
              </w:rPr>
              <w:t>Low VCC</w:t>
            </w:r>
          </w:p>
          <w:p w14:paraId="6DA5C634" w14:textId="77777777" w:rsidR="002147D8" w:rsidRPr="0097670D" w:rsidRDefault="00890C24">
            <w:pPr>
              <w:jc w:val="center"/>
              <w:rPr>
                <w:b/>
                <w:bCs/>
                <w:color w:val="000000"/>
                <w:sz w:val="20"/>
                <w:szCs w:val="20"/>
              </w:rPr>
            </w:pPr>
            <w:r w:rsidRPr="0097670D">
              <w:rPr>
                <w:b/>
                <w:bCs/>
                <w:color w:val="000000"/>
                <w:sz w:val="20"/>
                <w:szCs w:val="20"/>
              </w:rPr>
              <w:t>Low DM</w:t>
            </w:r>
          </w:p>
        </w:tc>
        <w:tc>
          <w:tcPr>
            <w:tcW w:w="1701" w:type="dxa"/>
            <w:tcBorders>
              <w:top w:val="nil"/>
              <w:left w:val="nil"/>
              <w:bottom w:val="single" w:sz="4" w:space="0" w:color="auto"/>
              <w:right w:val="single" w:sz="4" w:space="0" w:color="auto"/>
            </w:tcBorders>
            <w:shd w:val="clear" w:color="auto" w:fill="auto"/>
            <w:noWrap/>
            <w:vAlign w:val="center"/>
            <w:hideMark/>
          </w:tcPr>
          <w:p w14:paraId="0BB1BA4C" w14:textId="77777777" w:rsidR="002147D8" w:rsidRPr="0097670D" w:rsidRDefault="00890C24">
            <w:pPr>
              <w:jc w:val="center"/>
              <w:rPr>
                <w:b/>
                <w:bCs/>
                <w:color w:val="000000"/>
                <w:sz w:val="20"/>
                <w:szCs w:val="20"/>
              </w:rPr>
            </w:pPr>
            <w:r w:rsidRPr="0097670D">
              <w:rPr>
                <w:b/>
                <w:bCs/>
                <w:color w:val="000000"/>
                <w:sz w:val="20"/>
                <w:szCs w:val="20"/>
              </w:rPr>
              <w:t>Archetype 2</w:t>
            </w:r>
          </w:p>
          <w:p w14:paraId="3C449D66" w14:textId="77777777" w:rsidR="002147D8" w:rsidRPr="0097670D" w:rsidRDefault="002147D8">
            <w:pPr>
              <w:jc w:val="center"/>
              <w:rPr>
                <w:b/>
                <w:bCs/>
                <w:color w:val="000000"/>
                <w:sz w:val="20"/>
                <w:szCs w:val="20"/>
              </w:rPr>
            </w:pPr>
          </w:p>
          <w:p w14:paraId="2F5716D7" w14:textId="77777777" w:rsidR="002147D8" w:rsidRPr="0097670D" w:rsidRDefault="00890C24">
            <w:pPr>
              <w:jc w:val="center"/>
              <w:rPr>
                <w:b/>
                <w:bCs/>
                <w:color w:val="000000"/>
                <w:sz w:val="20"/>
                <w:szCs w:val="20"/>
              </w:rPr>
            </w:pPr>
            <w:r w:rsidRPr="0097670D">
              <w:rPr>
                <w:b/>
                <w:bCs/>
                <w:color w:val="000000"/>
                <w:sz w:val="20"/>
                <w:szCs w:val="20"/>
              </w:rPr>
              <w:t>High VCC</w:t>
            </w:r>
          </w:p>
          <w:p w14:paraId="3B140634" w14:textId="77777777" w:rsidR="002147D8" w:rsidRPr="0097670D" w:rsidRDefault="00890C24">
            <w:pPr>
              <w:jc w:val="center"/>
              <w:rPr>
                <w:b/>
                <w:bCs/>
                <w:color w:val="000000"/>
                <w:sz w:val="20"/>
                <w:szCs w:val="20"/>
              </w:rPr>
            </w:pPr>
            <w:r w:rsidRPr="0097670D">
              <w:rPr>
                <w:b/>
                <w:bCs/>
                <w:color w:val="000000"/>
                <w:sz w:val="20"/>
                <w:szCs w:val="20"/>
              </w:rPr>
              <w:t>Low DM</w:t>
            </w:r>
          </w:p>
        </w:tc>
        <w:tc>
          <w:tcPr>
            <w:tcW w:w="1701" w:type="dxa"/>
            <w:tcBorders>
              <w:top w:val="nil"/>
              <w:left w:val="nil"/>
              <w:bottom w:val="single" w:sz="4" w:space="0" w:color="auto"/>
              <w:right w:val="single" w:sz="4" w:space="0" w:color="auto"/>
            </w:tcBorders>
            <w:shd w:val="clear" w:color="auto" w:fill="auto"/>
            <w:noWrap/>
            <w:vAlign w:val="center"/>
            <w:hideMark/>
          </w:tcPr>
          <w:p w14:paraId="0A3ED967" w14:textId="77777777" w:rsidR="002147D8" w:rsidRPr="0097670D" w:rsidRDefault="00890C24">
            <w:pPr>
              <w:jc w:val="center"/>
              <w:rPr>
                <w:b/>
                <w:bCs/>
                <w:color w:val="000000"/>
                <w:sz w:val="20"/>
                <w:szCs w:val="20"/>
              </w:rPr>
            </w:pPr>
            <w:r w:rsidRPr="0097670D">
              <w:rPr>
                <w:b/>
                <w:bCs/>
                <w:color w:val="000000"/>
                <w:sz w:val="20"/>
                <w:szCs w:val="20"/>
              </w:rPr>
              <w:t>Archetype 3</w:t>
            </w:r>
          </w:p>
          <w:p w14:paraId="2826F619" w14:textId="77777777" w:rsidR="002147D8" w:rsidRPr="0097670D" w:rsidRDefault="002147D8">
            <w:pPr>
              <w:jc w:val="center"/>
              <w:rPr>
                <w:b/>
                <w:bCs/>
                <w:color w:val="000000"/>
                <w:sz w:val="20"/>
                <w:szCs w:val="20"/>
              </w:rPr>
            </w:pPr>
          </w:p>
          <w:p w14:paraId="79BBE0F7" w14:textId="77777777" w:rsidR="002147D8" w:rsidRPr="0097670D" w:rsidRDefault="00890C24">
            <w:pPr>
              <w:jc w:val="center"/>
              <w:rPr>
                <w:b/>
                <w:bCs/>
                <w:color w:val="000000"/>
                <w:sz w:val="20"/>
                <w:szCs w:val="20"/>
              </w:rPr>
            </w:pPr>
            <w:r w:rsidRPr="0097670D">
              <w:rPr>
                <w:b/>
                <w:bCs/>
                <w:color w:val="000000"/>
                <w:sz w:val="20"/>
                <w:szCs w:val="20"/>
              </w:rPr>
              <w:t>High VCC</w:t>
            </w:r>
          </w:p>
          <w:p w14:paraId="37B2534D" w14:textId="77777777" w:rsidR="002147D8" w:rsidRPr="0097670D" w:rsidRDefault="00890C24">
            <w:pPr>
              <w:jc w:val="center"/>
              <w:rPr>
                <w:b/>
                <w:bCs/>
                <w:color w:val="000000"/>
                <w:sz w:val="20"/>
                <w:szCs w:val="20"/>
              </w:rPr>
            </w:pPr>
            <w:r w:rsidRPr="0097670D">
              <w:rPr>
                <w:b/>
                <w:bCs/>
                <w:color w:val="000000"/>
                <w:sz w:val="20"/>
                <w:szCs w:val="20"/>
              </w:rPr>
              <w:t>High DM</w:t>
            </w:r>
          </w:p>
        </w:tc>
        <w:tc>
          <w:tcPr>
            <w:tcW w:w="1529" w:type="dxa"/>
            <w:tcBorders>
              <w:top w:val="nil"/>
              <w:left w:val="nil"/>
              <w:bottom w:val="single" w:sz="4" w:space="0" w:color="auto"/>
              <w:right w:val="single" w:sz="4" w:space="0" w:color="auto"/>
            </w:tcBorders>
            <w:shd w:val="clear" w:color="auto" w:fill="auto"/>
            <w:noWrap/>
            <w:vAlign w:val="center"/>
            <w:hideMark/>
          </w:tcPr>
          <w:p w14:paraId="4F327648" w14:textId="77777777" w:rsidR="002147D8" w:rsidRPr="0097670D" w:rsidRDefault="00890C24">
            <w:pPr>
              <w:jc w:val="center"/>
              <w:rPr>
                <w:b/>
                <w:bCs/>
                <w:color w:val="000000"/>
                <w:sz w:val="20"/>
                <w:szCs w:val="20"/>
              </w:rPr>
            </w:pPr>
            <w:r w:rsidRPr="0097670D">
              <w:rPr>
                <w:b/>
                <w:bCs/>
                <w:color w:val="000000"/>
                <w:sz w:val="20"/>
                <w:szCs w:val="20"/>
              </w:rPr>
              <w:t>Archetype 4</w:t>
            </w:r>
          </w:p>
          <w:p w14:paraId="5DF082AB" w14:textId="77777777" w:rsidR="002147D8" w:rsidRPr="0097670D" w:rsidRDefault="002147D8">
            <w:pPr>
              <w:jc w:val="center"/>
              <w:rPr>
                <w:b/>
                <w:bCs/>
                <w:color w:val="000000"/>
                <w:sz w:val="20"/>
                <w:szCs w:val="20"/>
              </w:rPr>
            </w:pPr>
          </w:p>
          <w:p w14:paraId="6ED1C424" w14:textId="77777777" w:rsidR="002147D8" w:rsidRPr="0097670D" w:rsidRDefault="00890C24">
            <w:pPr>
              <w:jc w:val="center"/>
              <w:rPr>
                <w:b/>
                <w:bCs/>
                <w:color w:val="000000"/>
                <w:sz w:val="20"/>
                <w:szCs w:val="20"/>
              </w:rPr>
            </w:pPr>
            <w:r w:rsidRPr="0097670D">
              <w:rPr>
                <w:b/>
                <w:bCs/>
                <w:color w:val="000000"/>
                <w:sz w:val="20"/>
                <w:szCs w:val="20"/>
              </w:rPr>
              <w:t>Low VCC</w:t>
            </w:r>
          </w:p>
          <w:p w14:paraId="005E9A1C" w14:textId="77777777" w:rsidR="002147D8" w:rsidRPr="0097670D" w:rsidRDefault="00890C24">
            <w:pPr>
              <w:jc w:val="center"/>
              <w:rPr>
                <w:b/>
                <w:bCs/>
                <w:color w:val="000000"/>
                <w:sz w:val="20"/>
                <w:szCs w:val="20"/>
              </w:rPr>
            </w:pPr>
            <w:r w:rsidRPr="0097670D">
              <w:rPr>
                <w:b/>
                <w:bCs/>
                <w:color w:val="000000"/>
                <w:sz w:val="20"/>
                <w:szCs w:val="20"/>
              </w:rPr>
              <w:t>High DM</w:t>
            </w:r>
          </w:p>
        </w:tc>
      </w:tr>
      <w:tr w:rsidR="002147D8" w:rsidRPr="0097670D" w14:paraId="590A27B8" w14:textId="77777777">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095AF1" w14:textId="77777777" w:rsidR="002147D8" w:rsidRPr="0097670D" w:rsidRDefault="00890C24">
            <w:pPr>
              <w:rPr>
                <w:b/>
                <w:bCs/>
                <w:color w:val="000000"/>
                <w:sz w:val="20"/>
                <w:szCs w:val="20"/>
              </w:rPr>
            </w:pPr>
            <w:r w:rsidRPr="0097670D">
              <w:rPr>
                <w:b/>
                <w:bCs/>
                <w:color w:val="000000"/>
                <w:sz w:val="20"/>
                <w:szCs w:val="20"/>
              </w:rPr>
              <w:t>Attention to dialogue</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76F2CE67" w14:textId="77777777" w:rsidR="002147D8" w:rsidRPr="0097670D" w:rsidRDefault="00890C24">
            <w:pPr>
              <w:jc w:val="center"/>
              <w:rPr>
                <w:color w:val="000000"/>
                <w:sz w:val="20"/>
                <w:szCs w:val="20"/>
              </w:rPr>
            </w:pPr>
            <w:r w:rsidRPr="0097670D">
              <w:rPr>
                <w:color w:val="000000"/>
                <w:sz w:val="20"/>
                <w:szCs w:val="20"/>
              </w:rPr>
              <w:t>-</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5BE53330" w14:textId="77777777" w:rsidR="002147D8" w:rsidRPr="0097670D" w:rsidRDefault="00890C24">
            <w:pPr>
              <w:jc w:val="center"/>
              <w:rPr>
                <w:color w:val="000000"/>
                <w:sz w:val="20"/>
                <w:szCs w:val="20"/>
              </w:rPr>
            </w:pPr>
            <w:r w:rsidRPr="0097670D">
              <w:rPr>
                <w:color w:val="000000"/>
                <w:sz w:val="20"/>
                <w:szCs w:val="20"/>
              </w:rPr>
              <w:t>X</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02E99654" w14:textId="77777777" w:rsidR="002147D8" w:rsidRPr="0097670D" w:rsidRDefault="00890C24">
            <w:pPr>
              <w:jc w:val="center"/>
              <w:rPr>
                <w:color w:val="000000"/>
                <w:sz w:val="20"/>
                <w:szCs w:val="20"/>
              </w:rPr>
            </w:pPr>
            <w:r w:rsidRPr="0097670D">
              <w:rPr>
                <w:color w:val="000000"/>
                <w:sz w:val="20"/>
                <w:szCs w:val="20"/>
              </w:rPr>
              <w:t>X</w:t>
            </w:r>
          </w:p>
        </w:tc>
        <w:tc>
          <w:tcPr>
            <w:tcW w:w="1529" w:type="dxa"/>
            <w:tcBorders>
              <w:top w:val="single" w:sz="4" w:space="0" w:color="auto"/>
              <w:left w:val="nil"/>
              <w:bottom w:val="single" w:sz="4" w:space="0" w:color="auto"/>
              <w:right w:val="single" w:sz="4" w:space="0" w:color="auto"/>
            </w:tcBorders>
            <w:shd w:val="clear" w:color="auto" w:fill="auto"/>
            <w:noWrap/>
            <w:vAlign w:val="center"/>
            <w:hideMark/>
          </w:tcPr>
          <w:p w14:paraId="5638B87B" w14:textId="77777777" w:rsidR="002147D8" w:rsidRPr="0097670D" w:rsidRDefault="00890C24">
            <w:pPr>
              <w:jc w:val="center"/>
              <w:rPr>
                <w:color w:val="000000"/>
                <w:sz w:val="20"/>
                <w:szCs w:val="20"/>
              </w:rPr>
            </w:pPr>
            <w:r w:rsidRPr="0097670D">
              <w:rPr>
                <w:color w:val="000000"/>
                <w:sz w:val="20"/>
                <w:szCs w:val="20"/>
              </w:rPr>
              <w:t>-</w:t>
            </w:r>
          </w:p>
        </w:tc>
      </w:tr>
      <w:tr w:rsidR="002147D8" w:rsidRPr="0097670D" w14:paraId="43DDCAB6" w14:textId="77777777">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A290F0" w14:textId="77777777" w:rsidR="002147D8" w:rsidRPr="0097670D" w:rsidRDefault="00890C24">
            <w:pPr>
              <w:rPr>
                <w:b/>
                <w:bCs/>
                <w:color w:val="000000"/>
                <w:sz w:val="20"/>
                <w:szCs w:val="20"/>
              </w:rPr>
            </w:pPr>
            <w:r w:rsidRPr="0097670D">
              <w:rPr>
                <w:b/>
                <w:bCs/>
                <w:color w:val="000000"/>
                <w:sz w:val="20"/>
                <w:szCs w:val="20"/>
              </w:rPr>
              <w:t>Attention to patients’ needs</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789F31E2" w14:textId="77777777" w:rsidR="002147D8" w:rsidRPr="0097670D" w:rsidRDefault="00890C24">
            <w:pPr>
              <w:jc w:val="center"/>
              <w:rPr>
                <w:color w:val="000000"/>
                <w:sz w:val="20"/>
                <w:szCs w:val="20"/>
              </w:rPr>
            </w:pPr>
            <w:r w:rsidRPr="0097670D">
              <w:rPr>
                <w:color w:val="000000"/>
                <w:sz w:val="20"/>
                <w:szCs w:val="20"/>
              </w:rPr>
              <w:t>-</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0E499E1F" w14:textId="77777777" w:rsidR="002147D8" w:rsidRPr="0097670D" w:rsidRDefault="00890C24">
            <w:pPr>
              <w:jc w:val="center"/>
              <w:rPr>
                <w:color w:val="000000"/>
                <w:sz w:val="20"/>
                <w:szCs w:val="20"/>
              </w:rPr>
            </w:pPr>
            <w:r w:rsidRPr="0097670D">
              <w:rPr>
                <w:color w:val="000000"/>
                <w:sz w:val="20"/>
                <w:szCs w:val="20"/>
              </w:rPr>
              <w:t>X</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3943B7D8" w14:textId="77777777" w:rsidR="002147D8" w:rsidRPr="0097670D" w:rsidRDefault="00890C24">
            <w:pPr>
              <w:jc w:val="center"/>
              <w:rPr>
                <w:color w:val="000000"/>
                <w:sz w:val="20"/>
                <w:szCs w:val="20"/>
              </w:rPr>
            </w:pPr>
            <w:r w:rsidRPr="0097670D">
              <w:rPr>
                <w:color w:val="000000"/>
                <w:sz w:val="20"/>
                <w:szCs w:val="20"/>
              </w:rPr>
              <w:t>X</w:t>
            </w:r>
          </w:p>
        </w:tc>
        <w:tc>
          <w:tcPr>
            <w:tcW w:w="1529" w:type="dxa"/>
            <w:tcBorders>
              <w:top w:val="single" w:sz="4" w:space="0" w:color="auto"/>
              <w:left w:val="nil"/>
              <w:bottom w:val="single" w:sz="4" w:space="0" w:color="auto"/>
              <w:right w:val="single" w:sz="4" w:space="0" w:color="auto"/>
            </w:tcBorders>
            <w:shd w:val="clear" w:color="auto" w:fill="auto"/>
            <w:noWrap/>
            <w:vAlign w:val="center"/>
            <w:hideMark/>
          </w:tcPr>
          <w:p w14:paraId="75F0B63A" w14:textId="77777777" w:rsidR="002147D8" w:rsidRPr="0097670D" w:rsidRDefault="00890C24">
            <w:pPr>
              <w:jc w:val="center"/>
              <w:rPr>
                <w:color w:val="000000"/>
                <w:sz w:val="20"/>
                <w:szCs w:val="20"/>
              </w:rPr>
            </w:pPr>
            <w:r w:rsidRPr="0097670D">
              <w:rPr>
                <w:color w:val="000000"/>
                <w:sz w:val="20"/>
                <w:szCs w:val="20"/>
              </w:rPr>
              <w:t xml:space="preserve">X </w:t>
            </w:r>
          </w:p>
          <w:p w14:paraId="2E8BCA54" w14:textId="77777777" w:rsidR="002147D8" w:rsidRPr="0097670D" w:rsidRDefault="00890C24">
            <w:pPr>
              <w:jc w:val="center"/>
              <w:rPr>
                <w:color w:val="000000"/>
                <w:sz w:val="20"/>
                <w:szCs w:val="20"/>
              </w:rPr>
            </w:pPr>
            <w:r w:rsidRPr="0097670D">
              <w:rPr>
                <w:color w:val="000000"/>
                <w:sz w:val="20"/>
                <w:szCs w:val="20"/>
              </w:rPr>
              <w:t>(Inattention)</w:t>
            </w:r>
          </w:p>
        </w:tc>
      </w:tr>
      <w:tr w:rsidR="002147D8" w:rsidRPr="0097670D" w14:paraId="4A68F361" w14:textId="77777777">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B68BEC" w14:textId="77777777" w:rsidR="002147D8" w:rsidRPr="0097670D" w:rsidRDefault="00890C24">
            <w:pPr>
              <w:rPr>
                <w:b/>
                <w:bCs/>
                <w:color w:val="000000"/>
                <w:sz w:val="20"/>
                <w:szCs w:val="20"/>
              </w:rPr>
            </w:pPr>
            <w:r w:rsidRPr="0097670D">
              <w:rPr>
                <w:b/>
                <w:bCs/>
                <w:color w:val="000000"/>
                <w:sz w:val="20"/>
                <w:szCs w:val="20"/>
              </w:rPr>
              <w:t>Demanding patient</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2C22B47A" w14:textId="77777777" w:rsidR="002147D8" w:rsidRPr="0097670D" w:rsidRDefault="00890C24">
            <w:pPr>
              <w:jc w:val="center"/>
              <w:rPr>
                <w:color w:val="000000"/>
                <w:sz w:val="20"/>
                <w:szCs w:val="20"/>
              </w:rPr>
            </w:pPr>
            <w:r w:rsidRPr="0097670D">
              <w:rPr>
                <w:color w:val="000000"/>
                <w:sz w:val="20"/>
                <w:szCs w:val="20"/>
              </w:rPr>
              <w:t>-</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4A727AB2" w14:textId="77777777" w:rsidR="002147D8" w:rsidRPr="0097670D" w:rsidRDefault="00890C24">
            <w:pPr>
              <w:jc w:val="center"/>
              <w:rPr>
                <w:color w:val="000000"/>
                <w:sz w:val="20"/>
                <w:szCs w:val="20"/>
              </w:rPr>
            </w:pPr>
            <w:r w:rsidRPr="0097670D">
              <w:rPr>
                <w:color w:val="000000"/>
                <w:sz w:val="20"/>
                <w:szCs w:val="20"/>
              </w:rPr>
              <w:t>-</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24D9D85B" w14:textId="77777777" w:rsidR="002147D8" w:rsidRPr="0097670D" w:rsidRDefault="00890C24">
            <w:pPr>
              <w:jc w:val="center"/>
              <w:rPr>
                <w:color w:val="000000"/>
                <w:sz w:val="20"/>
                <w:szCs w:val="20"/>
              </w:rPr>
            </w:pPr>
            <w:r w:rsidRPr="0097670D">
              <w:rPr>
                <w:color w:val="000000"/>
                <w:sz w:val="20"/>
                <w:szCs w:val="20"/>
              </w:rPr>
              <w:t>X</w:t>
            </w:r>
          </w:p>
        </w:tc>
        <w:tc>
          <w:tcPr>
            <w:tcW w:w="1529" w:type="dxa"/>
            <w:tcBorders>
              <w:top w:val="single" w:sz="4" w:space="0" w:color="auto"/>
              <w:left w:val="nil"/>
              <w:bottom w:val="single" w:sz="4" w:space="0" w:color="auto"/>
              <w:right w:val="single" w:sz="4" w:space="0" w:color="auto"/>
            </w:tcBorders>
            <w:shd w:val="clear" w:color="auto" w:fill="auto"/>
            <w:noWrap/>
            <w:vAlign w:val="center"/>
            <w:hideMark/>
          </w:tcPr>
          <w:p w14:paraId="544DDECB" w14:textId="77777777" w:rsidR="002147D8" w:rsidRPr="0097670D" w:rsidRDefault="00890C24">
            <w:pPr>
              <w:jc w:val="center"/>
              <w:rPr>
                <w:color w:val="000000"/>
                <w:sz w:val="20"/>
                <w:szCs w:val="20"/>
              </w:rPr>
            </w:pPr>
            <w:r w:rsidRPr="0097670D">
              <w:rPr>
                <w:color w:val="000000"/>
                <w:sz w:val="20"/>
                <w:szCs w:val="20"/>
              </w:rPr>
              <w:t>X</w:t>
            </w:r>
          </w:p>
        </w:tc>
      </w:tr>
      <w:tr w:rsidR="002147D8" w:rsidRPr="0097670D" w14:paraId="37B3B89B" w14:textId="77777777">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4D9DB7" w14:textId="77777777" w:rsidR="002147D8" w:rsidRPr="0097670D" w:rsidRDefault="00890C24">
            <w:pPr>
              <w:rPr>
                <w:b/>
                <w:bCs/>
                <w:color w:val="000000"/>
                <w:sz w:val="20"/>
                <w:szCs w:val="20"/>
              </w:rPr>
            </w:pPr>
            <w:r w:rsidRPr="0097670D">
              <w:rPr>
                <w:b/>
                <w:bCs/>
                <w:color w:val="000000"/>
                <w:sz w:val="20"/>
                <w:szCs w:val="20"/>
              </w:rPr>
              <w:t>Information asymmetry</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37A84847" w14:textId="77777777" w:rsidR="002147D8" w:rsidRPr="0097670D" w:rsidRDefault="00890C24">
            <w:pPr>
              <w:jc w:val="center"/>
              <w:rPr>
                <w:color w:val="000000"/>
                <w:sz w:val="20"/>
                <w:szCs w:val="20"/>
              </w:rPr>
            </w:pPr>
            <w:r w:rsidRPr="0097670D">
              <w:rPr>
                <w:color w:val="000000"/>
                <w:sz w:val="20"/>
                <w:szCs w:val="20"/>
              </w:rPr>
              <w:t>X</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4DE99A9E" w14:textId="77777777" w:rsidR="002147D8" w:rsidRPr="0097670D" w:rsidRDefault="00890C24">
            <w:pPr>
              <w:jc w:val="center"/>
              <w:rPr>
                <w:color w:val="000000"/>
                <w:sz w:val="20"/>
                <w:szCs w:val="20"/>
              </w:rPr>
            </w:pPr>
            <w:r w:rsidRPr="0097670D">
              <w:rPr>
                <w:color w:val="000000"/>
                <w:sz w:val="20"/>
                <w:szCs w:val="20"/>
              </w:rPr>
              <w:t>X</w:t>
            </w:r>
          </w:p>
          <w:p w14:paraId="15DD7C8A" w14:textId="77777777" w:rsidR="002147D8" w:rsidRPr="0097670D" w:rsidRDefault="00890C24">
            <w:pPr>
              <w:jc w:val="center"/>
              <w:rPr>
                <w:color w:val="000000"/>
                <w:sz w:val="20"/>
                <w:szCs w:val="20"/>
              </w:rPr>
            </w:pPr>
            <w:r w:rsidRPr="0097670D">
              <w:rPr>
                <w:color w:val="000000"/>
                <w:sz w:val="20"/>
                <w:szCs w:val="20"/>
              </w:rPr>
              <w:t>(Symmetry)</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6CFF6524" w14:textId="77777777" w:rsidR="002147D8" w:rsidRPr="0097670D" w:rsidRDefault="00890C24">
            <w:pPr>
              <w:jc w:val="center"/>
              <w:rPr>
                <w:color w:val="000000"/>
                <w:sz w:val="20"/>
                <w:szCs w:val="20"/>
              </w:rPr>
            </w:pPr>
            <w:r w:rsidRPr="0097670D">
              <w:rPr>
                <w:color w:val="000000"/>
                <w:sz w:val="20"/>
                <w:szCs w:val="20"/>
              </w:rPr>
              <w:t>X</w:t>
            </w:r>
          </w:p>
          <w:p w14:paraId="1CD7F9F6" w14:textId="77777777" w:rsidR="002147D8" w:rsidRPr="0097670D" w:rsidRDefault="00890C24">
            <w:pPr>
              <w:jc w:val="center"/>
              <w:rPr>
                <w:color w:val="000000"/>
                <w:sz w:val="20"/>
                <w:szCs w:val="20"/>
              </w:rPr>
            </w:pPr>
            <w:r w:rsidRPr="0097670D">
              <w:rPr>
                <w:color w:val="000000"/>
                <w:sz w:val="20"/>
                <w:szCs w:val="20"/>
              </w:rPr>
              <w:t>(Symmetry)</w:t>
            </w:r>
          </w:p>
        </w:tc>
        <w:tc>
          <w:tcPr>
            <w:tcW w:w="1529" w:type="dxa"/>
            <w:tcBorders>
              <w:top w:val="single" w:sz="4" w:space="0" w:color="auto"/>
              <w:left w:val="nil"/>
              <w:bottom w:val="single" w:sz="4" w:space="0" w:color="auto"/>
              <w:right w:val="single" w:sz="4" w:space="0" w:color="auto"/>
            </w:tcBorders>
            <w:shd w:val="clear" w:color="auto" w:fill="auto"/>
            <w:noWrap/>
            <w:vAlign w:val="center"/>
            <w:hideMark/>
          </w:tcPr>
          <w:p w14:paraId="249D0ACA" w14:textId="77777777" w:rsidR="002147D8" w:rsidRPr="0097670D" w:rsidRDefault="00890C24">
            <w:pPr>
              <w:jc w:val="center"/>
              <w:rPr>
                <w:color w:val="000000"/>
                <w:sz w:val="20"/>
                <w:szCs w:val="20"/>
              </w:rPr>
            </w:pPr>
            <w:r w:rsidRPr="0097670D">
              <w:rPr>
                <w:color w:val="000000"/>
                <w:sz w:val="20"/>
                <w:szCs w:val="20"/>
              </w:rPr>
              <w:t>X</w:t>
            </w:r>
          </w:p>
        </w:tc>
      </w:tr>
      <w:tr w:rsidR="002147D8" w:rsidRPr="0097670D" w14:paraId="69C4EFEC" w14:textId="77777777">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BDE841" w14:textId="77777777" w:rsidR="002147D8" w:rsidRPr="0097670D" w:rsidRDefault="00890C24">
            <w:pPr>
              <w:rPr>
                <w:b/>
                <w:bCs/>
                <w:color w:val="000000"/>
                <w:sz w:val="20"/>
                <w:szCs w:val="20"/>
              </w:rPr>
            </w:pPr>
            <w:r w:rsidRPr="0097670D">
              <w:rPr>
                <w:b/>
                <w:bCs/>
                <w:color w:val="000000"/>
                <w:sz w:val="20"/>
                <w:szCs w:val="20"/>
              </w:rPr>
              <w:t>Patient engagement</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0483C635" w14:textId="77777777" w:rsidR="002147D8" w:rsidRPr="0097670D" w:rsidRDefault="00890C24">
            <w:pPr>
              <w:jc w:val="center"/>
              <w:rPr>
                <w:color w:val="000000"/>
                <w:sz w:val="20"/>
                <w:szCs w:val="20"/>
              </w:rPr>
            </w:pPr>
            <w:r w:rsidRPr="0097670D">
              <w:rPr>
                <w:color w:val="000000"/>
                <w:sz w:val="20"/>
                <w:szCs w:val="20"/>
              </w:rPr>
              <w:t>-</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4E578265" w14:textId="77777777" w:rsidR="002147D8" w:rsidRPr="0097670D" w:rsidRDefault="00890C24">
            <w:pPr>
              <w:jc w:val="center"/>
              <w:rPr>
                <w:color w:val="000000"/>
                <w:sz w:val="20"/>
                <w:szCs w:val="20"/>
              </w:rPr>
            </w:pPr>
            <w:r w:rsidRPr="0097670D">
              <w:rPr>
                <w:color w:val="000000"/>
                <w:sz w:val="20"/>
                <w:szCs w:val="20"/>
              </w:rPr>
              <w:t>X</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0E323DCD" w14:textId="77777777" w:rsidR="002147D8" w:rsidRPr="0097670D" w:rsidRDefault="00890C24">
            <w:pPr>
              <w:jc w:val="center"/>
              <w:rPr>
                <w:color w:val="000000"/>
                <w:sz w:val="20"/>
                <w:szCs w:val="20"/>
              </w:rPr>
            </w:pPr>
            <w:r w:rsidRPr="0097670D">
              <w:rPr>
                <w:color w:val="000000"/>
                <w:sz w:val="20"/>
                <w:szCs w:val="20"/>
              </w:rPr>
              <w:t>-</w:t>
            </w:r>
          </w:p>
        </w:tc>
        <w:tc>
          <w:tcPr>
            <w:tcW w:w="1529" w:type="dxa"/>
            <w:tcBorders>
              <w:top w:val="single" w:sz="4" w:space="0" w:color="auto"/>
              <w:left w:val="nil"/>
              <w:bottom w:val="single" w:sz="4" w:space="0" w:color="auto"/>
              <w:right w:val="single" w:sz="4" w:space="0" w:color="auto"/>
            </w:tcBorders>
            <w:shd w:val="clear" w:color="auto" w:fill="auto"/>
            <w:noWrap/>
            <w:vAlign w:val="center"/>
            <w:hideMark/>
          </w:tcPr>
          <w:p w14:paraId="3879A489" w14:textId="77777777" w:rsidR="002147D8" w:rsidRPr="0097670D" w:rsidRDefault="00890C24">
            <w:pPr>
              <w:jc w:val="center"/>
              <w:rPr>
                <w:color w:val="000000"/>
                <w:sz w:val="20"/>
                <w:szCs w:val="20"/>
              </w:rPr>
            </w:pPr>
            <w:r w:rsidRPr="0097670D">
              <w:rPr>
                <w:color w:val="000000"/>
                <w:sz w:val="20"/>
                <w:szCs w:val="20"/>
              </w:rPr>
              <w:t xml:space="preserve">X </w:t>
            </w:r>
          </w:p>
          <w:p w14:paraId="2DA9E50D" w14:textId="77777777" w:rsidR="002147D8" w:rsidRPr="0097670D" w:rsidRDefault="00890C24">
            <w:pPr>
              <w:jc w:val="center"/>
              <w:rPr>
                <w:color w:val="000000"/>
                <w:sz w:val="20"/>
                <w:szCs w:val="20"/>
              </w:rPr>
            </w:pPr>
            <w:r w:rsidRPr="0097670D">
              <w:rPr>
                <w:color w:val="000000"/>
                <w:sz w:val="20"/>
                <w:szCs w:val="20"/>
              </w:rPr>
              <w:t>(Disengagement)</w:t>
            </w:r>
          </w:p>
        </w:tc>
      </w:tr>
      <w:tr w:rsidR="002147D8" w:rsidRPr="0097670D" w14:paraId="09242F33" w14:textId="77777777">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352686" w14:textId="77777777" w:rsidR="002147D8" w:rsidRPr="0097670D" w:rsidRDefault="00890C24">
            <w:pPr>
              <w:rPr>
                <w:b/>
                <w:bCs/>
                <w:color w:val="000000"/>
                <w:sz w:val="20"/>
                <w:szCs w:val="20"/>
              </w:rPr>
            </w:pPr>
            <w:r w:rsidRPr="0097670D">
              <w:rPr>
                <w:b/>
                <w:bCs/>
                <w:color w:val="000000"/>
                <w:sz w:val="20"/>
                <w:szCs w:val="20"/>
              </w:rPr>
              <w:t>Patient control</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6913AAD5" w14:textId="77777777" w:rsidR="002147D8" w:rsidRPr="0097670D" w:rsidRDefault="00890C24">
            <w:pPr>
              <w:jc w:val="center"/>
              <w:rPr>
                <w:color w:val="000000"/>
                <w:sz w:val="20"/>
                <w:szCs w:val="20"/>
              </w:rPr>
            </w:pPr>
            <w:r w:rsidRPr="0097670D">
              <w:rPr>
                <w:color w:val="000000"/>
                <w:sz w:val="20"/>
                <w:szCs w:val="20"/>
              </w:rPr>
              <w:t>-</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328DAA83" w14:textId="77777777" w:rsidR="002147D8" w:rsidRPr="0097670D" w:rsidRDefault="00890C24">
            <w:pPr>
              <w:jc w:val="center"/>
              <w:rPr>
                <w:color w:val="000000"/>
                <w:sz w:val="20"/>
                <w:szCs w:val="20"/>
              </w:rPr>
            </w:pPr>
            <w:r w:rsidRPr="0097670D">
              <w:rPr>
                <w:color w:val="000000"/>
                <w:sz w:val="20"/>
                <w:szCs w:val="20"/>
              </w:rPr>
              <w:t>-</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7FD32419" w14:textId="77777777" w:rsidR="002147D8" w:rsidRPr="0097670D" w:rsidRDefault="00890C24">
            <w:pPr>
              <w:jc w:val="center"/>
              <w:rPr>
                <w:color w:val="000000"/>
                <w:sz w:val="20"/>
                <w:szCs w:val="20"/>
              </w:rPr>
            </w:pPr>
            <w:r w:rsidRPr="0097670D">
              <w:rPr>
                <w:color w:val="000000"/>
                <w:sz w:val="20"/>
                <w:szCs w:val="20"/>
              </w:rPr>
              <w:t>X</w:t>
            </w:r>
          </w:p>
        </w:tc>
        <w:tc>
          <w:tcPr>
            <w:tcW w:w="1529" w:type="dxa"/>
            <w:tcBorders>
              <w:top w:val="single" w:sz="4" w:space="0" w:color="auto"/>
              <w:left w:val="nil"/>
              <w:bottom w:val="single" w:sz="4" w:space="0" w:color="auto"/>
              <w:right w:val="single" w:sz="4" w:space="0" w:color="auto"/>
            </w:tcBorders>
            <w:shd w:val="clear" w:color="auto" w:fill="auto"/>
            <w:noWrap/>
            <w:vAlign w:val="center"/>
            <w:hideMark/>
          </w:tcPr>
          <w:p w14:paraId="621CE258" w14:textId="77777777" w:rsidR="002147D8" w:rsidRPr="0097670D" w:rsidRDefault="00890C24">
            <w:pPr>
              <w:jc w:val="center"/>
              <w:rPr>
                <w:color w:val="000000"/>
                <w:sz w:val="20"/>
                <w:szCs w:val="20"/>
              </w:rPr>
            </w:pPr>
            <w:r w:rsidRPr="0097670D">
              <w:rPr>
                <w:color w:val="000000"/>
                <w:sz w:val="20"/>
                <w:szCs w:val="20"/>
              </w:rPr>
              <w:t>-</w:t>
            </w:r>
          </w:p>
        </w:tc>
      </w:tr>
      <w:tr w:rsidR="002147D8" w:rsidRPr="0097670D" w14:paraId="1052AED0" w14:textId="77777777">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337A37" w14:textId="77777777" w:rsidR="002147D8" w:rsidRPr="0097670D" w:rsidRDefault="00890C24">
            <w:pPr>
              <w:rPr>
                <w:b/>
                <w:bCs/>
                <w:color w:val="000000"/>
                <w:sz w:val="20"/>
                <w:szCs w:val="20"/>
              </w:rPr>
            </w:pPr>
            <w:r w:rsidRPr="0097670D">
              <w:rPr>
                <w:b/>
                <w:bCs/>
                <w:color w:val="000000"/>
                <w:sz w:val="20"/>
                <w:szCs w:val="20"/>
              </w:rPr>
              <w:t>Patient curiosity</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6DE45CC8" w14:textId="77777777" w:rsidR="002147D8" w:rsidRPr="0097670D" w:rsidRDefault="00890C24">
            <w:pPr>
              <w:jc w:val="center"/>
              <w:rPr>
                <w:color w:val="000000"/>
                <w:sz w:val="20"/>
                <w:szCs w:val="20"/>
              </w:rPr>
            </w:pPr>
            <w:r w:rsidRPr="0097670D">
              <w:rPr>
                <w:color w:val="000000"/>
                <w:sz w:val="20"/>
                <w:szCs w:val="20"/>
              </w:rPr>
              <w:t>-</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6CC84576" w14:textId="77777777" w:rsidR="002147D8" w:rsidRPr="0097670D" w:rsidRDefault="00890C24">
            <w:pPr>
              <w:jc w:val="center"/>
              <w:rPr>
                <w:color w:val="000000"/>
                <w:sz w:val="20"/>
                <w:szCs w:val="20"/>
              </w:rPr>
            </w:pPr>
            <w:r w:rsidRPr="0097670D">
              <w:rPr>
                <w:color w:val="000000"/>
                <w:sz w:val="20"/>
                <w:szCs w:val="20"/>
              </w:rPr>
              <w:t>-</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5A1DB3C8" w14:textId="77777777" w:rsidR="002147D8" w:rsidRPr="0097670D" w:rsidRDefault="00890C24">
            <w:pPr>
              <w:jc w:val="center"/>
              <w:rPr>
                <w:color w:val="000000"/>
                <w:sz w:val="20"/>
                <w:szCs w:val="20"/>
              </w:rPr>
            </w:pPr>
            <w:r w:rsidRPr="0097670D">
              <w:rPr>
                <w:color w:val="000000"/>
                <w:sz w:val="20"/>
                <w:szCs w:val="20"/>
              </w:rPr>
              <w:t>X</w:t>
            </w:r>
          </w:p>
        </w:tc>
        <w:tc>
          <w:tcPr>
            <w:tcW w:w="1529" w:type="dxa"/>
            <w:tcBorders>
              <w:top w:val="single" w:sz="4" w:space="0" w:color="auto"/>
              <w:left w:val="nil"/>
              <w:bottom w:val="single" w:sz="4" w:space="0" w:color="auto"/>
              <w:right w:val="single" w:sz="4" w:space="0" w:color="auto"/>
            </w:tcBorders>
            <w:shd w:val="clear" w:color="auto" w:fill="auto"/>
            <w:noWrap/>
            <w:vAlign w:val="center"/>
            <w:hideMark/>
          </w:tcPr>
          <w:p w14:paraId="4086D97F" w14:textId="77777777" w:rsidR="002147D8" w:rsidRPr="0097670D" w:rsidRDefault="00890C24">
            <w:pPr>
              <w:jc w:val="center"/>
              <w:rPr>
                <w:color w:val="000000"/>
                <w:sz w:val="20"/>
                <w:szCs w:val="20"/>
              </w:rPr>
            </w:pPr>
            <w:r w:rsidRPr="0097670D">
              <w:rPr>
                <w:color w:val="000000"/>
                <w:sz w:val="20"/>
                <w:szCs w:val="20"/>
              </w:rPr>
              <w:t>-</w:t>
            </w:r>
          </w:p>
        </w:tc>
      </w:tr>
      <w:tr w:rsidR="002147D8" w:rsidRPr="0097670D" w14:paraId="589E35D3" w14:textId="77777777">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091497" w14:textId="77777777" w:rsidR="002147D8" w:rsidRPr="0097670D" w:rsidRDefault="00890C24">
            <w:pPr>
              <w:rPr>
                <w:b/>
                <w:bCs/>
                <w:color w:val="000000"/>
                <w:sz w:val="20"/>
                <w:szCs w:val="20"/>
              </w:rPr>
            </w:pPr>
            <w:r w:rsidRPr="0097670D">
              <w:rPr>
                <w:b/>
                <w:bCs/>
                <w:color w:val="000000"/>
                <w:sz w:val="20"/>
                <w:szCs w:val="20"/>
              </w:rPr>
              <w:t>Physician control</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2A67B315" w14:textId="77777777" w:rsidR="002147D8" w:rsidRPr="0097670D" w:rsidRDefault="00890C24">
            <w:pPr>
              <w:jc w:val="center"/>
              <w:rPr>
                <w:color w:val="000000"/>
                <w:sz w:val="20"/>
                <w:szCs w:val="20"/>
              </w:rPr>
            </w:pPr>
            <w:r w:rsidRPr="0097670D">
              <w:rPr>
                <w:color w:val="000000"/>
                <w:sz w:val="20"/>
                <w:szCs w:val="20"/>
              </w:rPr>
              <w:t>X</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674DF861" w14:textId="77777777" w:rsidR="002147D8" w:rsidRPr="0097670D" w:rsidRDefault="00890C24">
            <w:pPr>
              <w:jc w:val="center"/>
              <w:rPr>
                <w:color w:val="000000"/>
                <w:sz w:val="20"/>
                <w:szCs w:val="20"/>
              </w:rPr>
            </w:pPr>
            <w:r w:rsidRPr="0097670D">
              <w:rPr>
                <w:color w:val="000000"/>
                <w:sz w:val="20"/>
                <w:szCs w:val="20"/>
              </w:rPr>
              <w:t>-</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353E9394" w14:textId="77777777" w:rsidR="002147D8" w:rsidRPr="0097670D" w:rsidRDefault="00890C24">
            <w:pPr>
              <w:jc w:val="center"/>
              <w:rPr>
                <w:color w:val="000000"/>
                <w:sz w:val="20"/>
                <w:szCs w:val="20"/>
              </w:rPr>
            </w:pPr>
            <w:r w:rsidRPr="0097670D">
              <w:rPr>
                <w:color w:val="000000"/>
                <w:sz w:val="20"/>
                <w:szCs w:val="20"/>
              </w:rPr>
              <w:t>-</w:t>
            </w:r>
          </w:p>
        </w:tc>
        <w:tc>
          <w:tcPr>
            <w:tcW w:w="1529" w:type="dxa"/>
            <w:tcBorders>
              <w:top w:val="single" w:sz="4" w:space="0" w:color="auto"/>
              <w:left w:val="nil"/>
              <w:bottom w:val="single" w:sz="4" w:space="0" w:color="auto"/>
              <w:right w:val="single" w:sz="4" w:space="0" w:color="auto"/>
            </w:tcBorders>
            <w:shd w:val="clear" w:color="auto" w:fill="auto"/>
            <w:noWrap/>
            <w:vAlign w:val="center"/>
            <w:hideMark/>
          </w:tcPr>
          <w:p w14:paraId="3CB075A6" w14:textId="77777777" w:rsidR="002147D8" w:rsidRPr="0097670D" w:rsidRDefault="00890C24">
            <w:pPr>
              <w:jc w:val="center"/>
              <w:rPr>
                <w:color w:val="000000"/>
                <w:sz w:val="20"/>
                <w:szCs w:val="20"/>
              </w:rPr>
            </w:pPr>
            <w:r w:rsidRPr="0097670D">
              <w:rPr>
                <w:color w:val="000000"/>
                <w:sz w:val="20"/>
                <w:szCs w:val="20"/>
              </w:rPr>
              <w:t>-</w:t>
            </w:r>
          </w:p>
        </w:tc>
      </w:tr>
      <w:tr w:rsidR="002147D8" w:rsidRPr="0097670D" w14:paraId="249ECD1B" w14:textId="77777777">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83B54C" w14:textId="77777777" w:rsidR="002147D8" w:rsidRPr="0097670D" w:rsidRDefault="00890C24">
            <w:pPr>
              <w:rPr>
                <w:b/>
                <w:bCs/>
                <w:color w:val="000000"/>
                <w:sz w:val="20"/>
                <w:szCs w:val="20"/>
              </w:rPr>
            </w:pPr>
            <w:r w:rsidRPr="0097670D">
              <w:rPr>
                <w:b/>
                <w:bCs/>
                <w:color w:val="000000"/>
                <w:sz w:val="20"/>
                <w:szCs w:val="20"/>
              </w:rPr>
              <w:t>Physician empathy</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7FCEEFAF" w14:textId="77777777" w:rsidR="002147D8" w:rsidRPr="0097670D" w:rsidRDefault="00890C24">
            <w:pPr>
              <w:jc w:val="center"/>
              <w:rPr>
                <w:color w:val="000000"/>
                <w:sz w:val="20"/>
                <w:szCs w:val="20"/>
              </w:rPr>
            </w:pPr>
            <w:r w:rsidRPr="0097670D">
              <w:rPr>
                <w:color w:val="000000"/>
                <w:sz w:val="20"/>
                <w:szCs w:val="20"/>
              </w:rPr>
              <w:t>X</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40CE0CED" w14:textId="77777777" w:rsidR="002147D8" w:rsidRPr="0097670D" w:rsidRDefault="00890C24">
            <w:pPr>
              <w:jc w:val="center"/>
              <w:rPr>
                <w:color w:val="000000"/>
                <w:sz w:val="20"/>
                <w:szCs w:val="20"/>
              </w:rPr>
            </w:pPr>
            <w:r w:rsidRPr="0097670D">
              <w:rPr>
                <w:color w:val="000000"/>
                <w:sz w:val="20"/>
                <w:szCs w:val="20"/>
              </w:rPr>
              <w:t>X</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3BD2BFC8" w14:textId="77777777" w:rsidR="002147D8" w:rsidRPr="0097670D" w:rsidRDefault="00890C24">
            <w:pPr>
              <w:jc w:val="center"/>
              <w:rPr>
                <w:color w:val="000000"/>
                <w:sz w:val="20"/>
                <w:szCs w:val="20"/>
              </w:rPr>
            </w:pPr>
            <w:r w:rsidRPr="0097670D">
              <w:rPr>
                <w:color w:val="000000"/>
                <w:sz w:val="20"/>
                <w:szCs w:val="20"/>
              </w:rPr>
              <w:t>-</w:t>
            </w:r>
          </w:p>
        </w:tc>
        <w:tc>
          <w:tcPr>
            <w:tcW w:w="1529" w:type="dxa"/>
            <w:tcBorders>
              <w:top w:val="single" w:sz="4" w:space="0" w:color="auto"/>
              <w:left w:val="nil"/>
              <w:bottom w:val="single" w:sz="4" w:space="0" w:color="auto"/>
              <w:right w:val="single" w:sz="4" w:space="0" w:color="auto"/>
            </w:tcBorders>
            <w:shd w:val="clear" w:color="auto" w:fill="auto"/>
            <w:noWrap/>
            <w:vAlign w:val="center"/>
            <w:hideMark/>
          </w:tcPr>
          <w:p w14:paraId="1F1433C6" w14:textId="77777777" w:rsidR="002147D8" w:rsidRPr="0097670D" w:rsidRDefault="00890C24">
            <w:pPr>
              <w:jc w:val="center"/>
              <w:rPr>
                <w:color w:val="000000"/>
                <w:sz w:val="20"/>
                <w:szCs w:val="20"/>
              </w:rPr>
            </w:pPr>
            <w:r w:rsidRPr="0097670D">
              <w:rPr>
                <w:color w:val="000000"/>
                <w:sz w:val="20"/>
                <w:szCs w:val="20"/>
              </w:rPr>
              <w:t>X</w:t>
            </w:r>
          </w:p>
          <w:p w14:paraId="6512FDC8" w14:textId="77777777" w:rsidR="002147D8" w:rsidRPr="0097670D" w:rsidRDefault="00890C24">
            <w:pPr>
              <w:jc w:val="center"/>
              <w:rPr>
                <w:color w:val="000000"/>
                <w:sz w:val="20"/>
                <w:szCs w:val="20"/>
              </w:rPr>
            </w:pPr>
            <w:r w:rsidRPr="0097670D">
              <w:rPr>
                <w:color w:val="000000"/>
                <w:sz w:val="20"/>
                <w:szCs w:val="20"/>
              </w:rPr>
              <w:t>(Insensitivity)</w:t>
            </w:r>
          </w:p>
        </w:tc>
      </w:tr>
      <w:tr w:rsidR="002147D8" w:rsidRPr="0097670D" w14:paraId="2642735F" w14:textId="77777777">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2F4A6A" w14:textId="77777777" w:rsidR="002147D8" w:rsidRPr="0097670D" w:rsidRDefault="00890C24">
            <w:pPr>
              <w:rPr>
                <w:b/>
                <w:bCs/>
                <w:color w:val="000000"/>
                <w:sz w:val="20"/>
                <w:szCs w:val="20"/>
              </w:rPr>
            </w:pPr>
            <w:r w:rsidRPr="0097670D">
              <w:rPr>
                <w:b/>
                <w:bCs/>
                <w:color w:val="000000"/>
                <w:sz w:val="20"/>
                <w:szCs w:val="20"/>
              </w:rPr>
              <w:t>Relationship length</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6046BAE5" w14:textId="77777777" w:rsidR="002147D8" w:rsidRPr="0097670D" w:rsidRDefault="00890C24">
            <w:pPr>
              <w:jc w:val="center"/>
              <w:rPr>
                <w:color w:val="000000"/>
                <w:sz w:val="20"/>
                <w:szCs w:val="20"/>
              </w:rPr>
            </w:pPr>
            <w:r w:rsidRPr="0097670D">
              <w:rPr>
                <w:color w:val="000000"/>
                <w:sz w:val="20"/>
                <w:szCs w:val="20"/>
              </w:rPr>
              <w:t>X</w:t>
            </w:r>
          </w:p>
          <w:p w14:paraId="147CBCBC" w14:textId="77777777" w:rsidR="002147D8" w:rsidRPr="0097670D" w:rsidRDefault="00890C24">
            <w:pPr>
              <w:jc w:val="center"/>
              <w:rPr>
                <w:color w:val="000000"/>
                <w:sz w:val="20"/>
                <w:szCs w:val="20"/>
              </w:rPr>
            </w:pPr>
            <w:r w:rsidRPr="0097670D">
              <w:rPr>
                <w:color w:val="000000"/>
                <w:sz w:val="20"/>
                <w:szCs w:val="20"/>
              </w:rPr>
              <w:t>(Medium-Long)</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10612E19" w14:textId="77777777" w:rsidR="002147D8" w:rsidRPr="0097670D" w:rsidRDefault="00890C24">
            <w:pPr>
              <w:jc w:val="center"/>
              <w:rPr>
                <w:color w:val="000000"/>
                <w:sz w:val="20"/>
                <w:szCs w:val="20"/>
              </w:rPr>
            </w:pPr>
            <w:r w:rsidRPr="0097670D">
              <w:rPr>
                <w:color w:val="000000"/>
                <w:sz w:val="20"/>
                <w:szCs w:val="20"/>
              </w:rPr>
              <w:t>X</w:t>
            </w:r>
          </w:p>
          <w:p w14:paraId="7B323897" w14:textId="77777777" w:rsidR="002147D8" w:rsidRPr="0097670D" w:rsidRDefault="00890C24">
            <w:pPr>
              <w:jc w:val="center"/>
              <w:rPr>
                <w:color w:val="000000"/>
                <w:sz w:val="20"/>
                <w:szCs w:val="20"/>
              </w:rPr>
            </w:pPr>
            <w:r w:rsidRPr="0097670D">
              <w:rPr>
                <w:color w:val="000000"/>
                <w:sz w:val="20"/>
                <w:szCs w:val="20"/>
              </w:rPr>
              <w:t>(Medium-Long)</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50B1EBF2" w14:textId="77777777" w:rsidR="002147D8" w:rsidRPr="0097670D" w:rsidRDefault="00890C24">
            <w:pPr>
              <w:jc w:val="center"/>
              <w:rPr>
                <w:color w:val="000000"/>
                <w:sz w:val="20"/>
                <w:szCs w:val="20"/>
              </w:rPr>
            </w:pPr>
            <w:r w:rsidRPr="0097670D">
              <w:rPr>
                <w:color w:val="000000"/>
                <w:sz w:val="20"/>
                <w:szCs w:val="20"/>
              </w:rPr>
              <w:t>X</w:t>
            </w:r>
          </w:p>
          <w:p w14:paraId="54B57CC1" w14:textId="77777777" w:rsidR="002147D8" w:rsidRPr="0097670D" w:rsidRDefault="00890C24">
            <w:pPr>
              <w:jc w:val="center"/>
              <w:rPr>
                <w:color w:val="000000"/>
                <w:sz w:val="20"/>
                <w:szCs w:val="20"/>
              </w:rPr>
            </w:pPr>
            <w:r w:rsidRPr="0097670D">
              <w:rPr>
                <w:color w:val="000000"/>
                <w:sz w:val="20"/>
                <w:szCs w:val="20"/>
              </w:rPr>
              <w:t>(Short-Medium)</w:t>
            </w:r>
          </w:p>
        </w:tc>
        <w:tc>
          <w:tcPr>
            <w:tcW w:w="1529" w:type="dxa"/>
            <w:tcBorders>
              <w:top w:val="single" w:sz="4" w:space="0" w:color="auto"/>
              <w:left w:val="nil"/>
              <w:bottom w:val="single" w:sz="4" w:space="0" w:color="auto"/>
              <w:right w:val="single" w:sz="4" w:space="0" w:color="auto"/>
            </w:tcBorders>
            <w:shd w:val="clear" w:color="auto" w:fill="auto"/>
            <w:noWrap/>
            <w:vAlign w:val="center"/>
            <w:hideMark/>
          </w:tcPr>
          <w:p w14:paraId="517FC9C9" w14:textId="77777777" w:rsidR="002147D8" w:rsidRPr="0097670D" w:rsidRDefault="00890C24">
            <w:pPr>
              <w:jc w:val="center"/>
              <w:rPr>
                <w:color w:val="000000"/>
                <w:sz w:val="20"/>
                <w:szCs w:val="20"/>
              </w:rPr>
            </w:pPr>
            <w:r w:rsidRPr="0097670D">
              <w:rPr>
                <w:color w:val="000000"/>
                <w:sz w:val="20"/>
                <w:szCs w:val="20"/>
              </w:rPr>
              <w:t>X</w:t>
            </w:r>
          </w:p>
          <w:p w14:paraId="2E6CFD69" w14:textId="77777777" w:rsidR="002147D8" w:rsidRPr="0097670D" w:rsidRDefault="00890C24">
            <w:pPr>
              <w:jc w:val="center"/>
              <w:rPr>
                <w:color w:val="000000"/>
                <w:sz w:val="20"/>
                <w:szCs w:val="20"/>
              </w:rPr>
            </w:pPr>
            <w:r w:rsidRPr="0097670D">
              <w:rPr>
                <w:color w:val="000000"/>
                <w:sz w:val="20"/>
                <w:szCs w:val="20"/>
              </w:rPr>
              <w:t>(Short-Medium)</w:t>
            </w:r>
          </w:p>
        </w:tc>
      </w:tr>
      <w:tr w:rsidR="002147D8" w:rsidRPr="0097670D" w14:paraId="40CF1AAE" w14:textId="77777777">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50CF43" w14:textId="77777777" w:rsidR="002147D8" w:rsidRPr="0097670D" w:rsidRDefault="00890C24">
            <w:pPr>
              <w:rPr>
                <w:b/>
                <w:bCs/>
                <w:color w:val="000000"/>
                <w:sz w:val="20"/>
                <w:szCs w:val="20"/>
              </w:rPr>
            </w:pPr>
            <w:r w:rsidRPr="0097670D">
              <w:rPr>
                <w:b/>
                <w:bCs/>
                <w:color w:val="000000"/>
                <w:sz w:val="20"/>
                <w:szCs w:val="20"/>
              </w:rPr>
              <w:t>Risk of lawsuits</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5D2C2FAE" w14:textId="77777777" w:rsidR="002147D8" w:rsidRPr="0097670D" w:rsidRDefault="00890C24">
            <w:pPr>
              <w:jc w:val="center"/>
              <w:rPr>
                <w:color w:val="000000"/>
                <w:sz w:val="20"/>
                <w:szCs w:val="20"/>
              </w:rPr>
            </w:pPr>
            <w:r w:rsidRPr="0097670D">
              <w:rPr>
                <w:color w:val="000000"/>
                <w:sz w:val="20"/>
                <w:szCs w:val="20"/>
              </w:rPr>
              <w:t>X</w:t>
            </w:r>
          </w:p>
          <w:p w14:paraId="032E0719" w14:textId="77777777" w:rsidR="002147D8" w:rsidRPr="0097670D" w:rsidRDefault="00890C24">
            <w:pPr>
              <w:jc w:val="center"/>
              <w:rPr>
                <w:color w:val="000000"/>
                <w:sz w:val="20"/>
                <w:szCs w:val="20"/>
              </w:rPr>
            </w:pPr>
            <w:r w:rsidRPr="0097670D">
              <w:rPr>
                <w:color w:val="000000"/>
                <w:sz w:val="20"/>
                <w:szCs w:val="20"/>
              </w:rPr>
              <w:t>(Low)</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17D2F83E" w14:textId="77777777" w:rsidR="002147D8" w:rsidRPr="0097670D" w:rsidRDefault="00890C24">
            <w:pPr>
              <w:jc w:val="center"/>
              <w:rPr>
                <w:color w:val="000000"/>
                <w:sz w:val="20"/>
                <w:szCs w:val="20"/>
              </w:rPr>
            </w:pPr>
            <w:r w:rsidRPr="0097670D">
              <w:rPr>
                <w:color w:val="000000"/>
                <w:sz w:val="20"/>
                <w:szCs w:val="20"/>
              </w:rPr>
              <w:t>-</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138A11CF" w14:textId="77777777" w:rsidR="002147D8" w:rsidRPr="0097670D" w:rsidRDefault="00890C24">
            <w:pPr>
              <w:jc w:val="center"/>
              <w:rPr>
                <w:color w:val="000000"/>
                <w:sz w:val="20"/>
                <w:szCs w:val="20"/>
              </w:rPr>
            </w:pPr>
            <w:r w:rsidRPr="0097670D">
              <w:rPr>
                <w:color w:val="000000"/>
                <w:sz w:val="20"/>
                <w:szCs w:val="20"/>
              </w:rPr>
              <w:t>-</w:t>
            </w:r>
          </w:p>
        </w:tc>
        <w:tc>
          <w:tcPr>
            <w:tcW w:w="1529" w:type="dxa"/>
            <w:tcBorders>
              <w:top w:val="single" w:sz="4" w:space="0" w:color="auto"/>
              <w:left w:val="nil"/>
              <w:bottom w:val="single" w:sz="4" w:space="0" w:color="auto"/>
              <w:right w:val="single" w:sz="4" w:space="0" w:color="auto"/>
            </w:tcBorders>
            <w:shd w:val="clear" w:color="auto" w:fill="auto"/>
            <w:noWrap/>
            <w:vAlign w:val="center"/>
            <w:hideMark/>
          </w:tcPr>
          <w:p w14:paraId="32D9EDEB" w14:textId="77777777" w:rsidR="002147D8" w:rsidRPr="0097670D" w:rsidRDefault="00890C24">
            <w:pPr>
              <w:jc w:val="center"/>
              <w:rPr>
                <w:color w:val="000000"/>
                <w:sz w:val="20"/>
                <w:szCs w:val="20"/>
              </w:rPr>
            </w:pPr>
            <w:r w:rsidRPr="0097670D">
              <w:rPr>
                <w:color w:val="000000"/>
                <w:sz w:val="20"/>
                <w:szCs w:val="20"/>
              </w:rPr>
              <w:t>X</w:t>
            </w:r>
          </w:p>
          <w:p w14:paraId="6D89214B" w14:textId="77777777" w:rsidR="002147D8" w:rsidRPr="0097670D" w:rsidRDefault="00890C24">
            <w:pPr>
              <w:jc w:val="center"/>
              <w:rPr>
                <w:color w:val="000000"/>
                <w:sz w:val="20"/>
                <w:szCs w:val="20"/>
              </w:rPr>
            </w:pPr>
            <w:r w:rsidRPr="0097670D">
              <w:rPr>
                <w:color w:val="000000"/>
                <w:sz w:val="20"/>
                <w:szCs w:val="20"/>
              </w:rPr>
              <w:t>(High)</w:t>
            </w:r>
          </w:p>
        </w:tc>
      </w:tr>
      <w:tr w:rsidR="002147D8" w:rsidRPr="0097670D" w14:paraId="6EE41ECC" w14:textId="77777777">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3F565B" w14:textId="77777777" w:rsidR="002147D8" w:rsidRPr="0097670D" w:rsidRDefault="00890C24">
            <w:pPr>
              <w:rPr>
                <w:b/>
                <w:bCs/>
                <w:color w:val="000000"/>
                <w:sz w:val="20"/>
                <w:szCs w:val="20"/>
              </w:rPr>
            </w:pPr>
            <w:r w:rsidRPr="0097670D">
              <w:rPr>
                <w:b/>
                <w:bCs/>
                <w:color w:val="000000"/>
                <w:sz w:val="20"/>
                <w:szCs w:val="20"/>
              </w:rPr>
              <w:t>Service personalization</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6CE0D665" w14:textId="77777777" w:rsidR="002147D8" w:rsidRPr="0097670D" w:rsidRDefault="00890C24">
            <w:pPr>
              <w:jc w:val="center"/>
              <w:rPr>
                <w:color w:val="000000"/>
                <w:sz w:val="20"/>
                <w:szCs w:val="20"/>
              </w:rPr>
            </w:pPr>
            <w:r w:rsidRPr="0097670D">
              <w:rPr>
                <w:color w:val="000000"/>
                <w:sz w:val="20"/>
                <w:szCs w:val="20"/>
              </w:rPr>
              <w:t>-</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088DCBC5" w14:textId="77777777" w:rsidR="002147D8" w:rsidRPr="0097670D" w:rsidRDefault="00890C24">
            <w:pPr>
              <w:jc w:val="center"/>
              <w:rPr>
                <w:color w:val="000000"/>
                <w:sz w:val="20"/>
                <w:szCs w:val="20"/>
              </w:rPr>
            </w:pPr>
            <w:r w:rsidRPr="0097670D">
              <w:rPr>
                <w:color w:val="000000"/>
                <w:sz w:val="20"/>
                <w:szCs w:val="20"/>
              </w:rPr>
              <w:t>X</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42CEE769" w14:textId="77777777" w:rsidR="002147D8" w:rsidRPr="0097670D" w:rsidRDefault="00890C24">
            <w:pPr>
              <w:jc w:val="center"/>
              <w:rPr>
                <w:color w:val="000000"/>
                <w:sz w:val="20"/>
                <w:szCs w:val="20"/>
              </w:rPr>
            </w:pPr>
            <w:r w:rsidRPr="0097670D">
              <w:rPr>
                <w:color w:val="000000"/>
                <w:sz w:val="20"/>
                <w:szCs w:val="20"/>
              </w:rPr>
              <w:t>-</w:t>
            </w:r>
          </w:p>
        </w:tc>
        <w:tc>
          <w:tcPr>
            <w:tcW w:w="1529" w:type="dxa"/>
            <w:tcBorders>
              <w:top w:val="single" w:sz="4" w:space="0" w:color="auto"/>
              <w:left w:val="nil"/>
              <w:bottom w:val="single" w:sz="4" w:space="0" w:color="auto"/>
              <w:right w:val="single" w:sz="4" w:space="0" w:color="auto"/>
            </w:tcBorders>
            <w:shd w:val="clear" w:color="auto" w:fill="auto"/>
            <w:noWrap/>
            <w:vAlign w:val="center"/>
            <w:hideMark/>
          </w:tcPr>
          <w:p w14:paraId="16906C62" w14:textId="77777777" w:rsidR="002147D8" w:rsidRPr="0097670D" w:rsidRDefault="00890C24">
            <w:pPr>
              <w:jc w:val="center"/>
              <w:rPr>
                <w:color w:val="000000"/>
                <w:sz w:val="20"/>
                <w:szCs w:val="20"/>
              </w:rPr>
            </w:pPr>
            <w:r w:rsidRPr="0097670D">
              <w:rPr>
                <w:color w:val="000000"/>
                <w:sz w:val="20"/>
                <w:szCs w:val="20"/>
              </w:rPr>
              <w:t xml:space="preserve">X </w:t>
            </w:r>
          </w:p>
          <w:p w14:paraId="3D9A98C9" w14:textId="77777777" w:rsidR="002147D8" w:rsidRPr="0097670D" w:rsidRDefault="00890C24">
            <w:pPr>
              <w:jc w:val="center"/>
              <w:rPr>
                <w:color w:val="000000"/>
                <w:sz w:val="20"/>
                <w:szCs w:val="20"/>
              </w:rPr>
            </w:pPr>
            <w:r w:rsidRPr="0097670D">
              <w:rPr>
                <w:color w:val="000000"/>
                <w:sz w:val="20"/>
                <w:szCs w:val="20"/>
              </w:rPr>
              <w:t>(Standardization)</w:t>
            </w:r>
          </w:p>
        </w:tc>
      </w:tr>
      <w:tr w:rsidR="002147D8" w:rsidRPr="0097670D" w14:paraId="1424FE73" w14:textId="77777777">
        <w:trPr>
          <w:trHeight w:val="3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7E78C3" w14:textId="77777777" w:rsidR="002147D8" w:rsidRPr="0097670D" w:rsidRDefault="00890C24">
            <w:pPr>
              <w:rPr>
                <w:b/>
                <w:bCs/>
                <w:color w:val="000000"/>
                <w:sz w:val="20"/>
                <w:szCs w:val="20"/>
              </w:rPr>
            </w:pPr>
            <w:r w:rsidRPr="0097670D">
              <w:rPr>
                <w:b/>
                <w:bCs/>
                <w:color w:val="000000"/>
                <w:sz w:val="20"/>
                <w:szCs w:val="20"/>
              </w:rPr>
              <w:t>Trust</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4EEBA608" w14:textId="77777777" w:rsidR="002147D8" w:rsidRPr="0097670D" w:rsidRDefault="00890C24">
            <w:pPr>
              <w:jc w:val="center"/>
              <w:rPr>
                <w:color w:val="000000"/>
                <w:sz w:val="20"/>
                <w:szCs w:val="20"/>
              </w:rPr>
            </w:pPr>
            <w:r w:rsidRPr="0097670D">
              <w:rPr>
                <w:color w:val="000000"/>
                <w:sz w:val="20"/>
                <w:szCs w:val="20"/>
              </w:rPr>
              <w:t>X</w:t>
            </w:r>
          </w:p>
          <w:p w14:paraId="414D6EE7" w14:textId="77777777" w:rsidR="002147D8" w:rsidRPr="0097670D" w:rsidRDefault="00890C24">
            <w:pPr>
              <w:jc w:val="center"/>
              <w:rPr>
                <w:color w:val="000000"/>
                <w:sz w:val="20"/>
                <w:szCs w:val="20"/>
              </w:rPr>
            </w:pPr>
            <w:r w:rsidRPr="0097670D">
              <w:rPr>
                <w:color w:val="000000"/>
                <w:sz w:val="20"/>
                <w:szCs w:val="20"/>
              </w:rPr>
              <w:t>(Patient)</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52A46045" w14:textId="77777777" w:rsidR="002147D8" w:rsidRPr="0097670D" w:rsidRDefault="00890C24">
            <w:pPr>
              <w:jc w:val="center"/>
              <w:rPr>
                <w:color w:val="000000"/>
                <w:sz w:val="20"/>
                <w:szCs w:val="20"/>
              </w:rPr>
            </w:pPr>
            <w:r w:rsidRPr="0097670D">
              <w:rPr>
                <w:color w:val="000000"/>
                <w:sz w:val="20"/>
                <w:szCs w:val="20"/>
              </w:rPr>
              <w:t>X</w:t>
            </w:r>
          </w:p>
          <w:p w14:paraId="070E146E" w14:textId="77777777" w:rsidR="002147D8" w:rsidRPr="0097670D" w:rsidRDefault="00890C24">
            <w:pPr>
              <w:jc w:val="center"/>
              <w:rPr>
                <w:color w:val="000000"/>
                <w:sz w:val="20"/>
                <w:szCs w:val="20"/>
              </w:rPr>
            </w:pPr>
            <w:r w:rsidRPr="0097670D">
              <w:rPr>
                <w:color w:val="000000"/>
                <w:sz w:val="20"/>
                <w:szCs w:val="20"/>
              </w:rPr>
              <w:t>(Mutual)</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42327FE0" w14:textId="77777777" w:rsidR="002147D8" w:rsidRPr="0097670D" w:rsidRDefault="00890C24">
            <w:pPr>
              <w:jc w:val="center"/>
              <w:rPr>
                <w:color w:val="000000"/>
                <w:sz w:val="20"/>
                <w:szCs w:val="20"/>
              </w:rPr>
            </w:pPr>
            <w:r w:rsidRPr="0097670D">
              <w:rPr>
                <w:color w:val="000000"/>
                <w:sz w:val="20"/>
                <w:szCs w:val="20"/>
              </w:rPr>
              <w:t>-</w:t>
            </w:r>
          </w:p>
        </w:tc>
        <w:tc>
          <w:tcPr>
            <w:tcW w:w="1529" w:type="dxa"/>
            <w:tcBorders>
              <w:top w:val="single" w:sz="4" w:space="0" w:color="auto"/>
              <w:left w:val="nil"/>
              <w:bottom w:val="single" w:sz="4" w:space="0" w:color="auto"/>
              <w:right w:val="single" w:sz="4" w:space="0" w:color="auto"/>
            </w:tcBorders>
            <w:shd w:val="clear" w:color="auto" w:fill="auto"/>
            <w:noWrap/>
            <w:vAlign w:val="center"/>
            <w:hideMark/>
          </w:tcPr>
          <w:p w14:paraId="26608BE5" w14:textId="77777777" w:rsidR="002147D8" w:rsidRPr="0097670D" w:rsidRDefault="00890C24">
            <w:pPr>
              <w:jc w:val="center"/>
              <w:rPr>
                <w:color w:val="000000"/>
                <w:sz w:val="20"/>
                <w:szCs w:val="20"/>
              </w:rPr>
            </w:pPr>
            <w:r w:rsidRPr="0097670D">
              <w:rPr>
                <w:color w:val="000000"/>
                <w:sz w:val="20"/>
                <w:szCs w:val="20"/>
              </w:rPr>
              <w:t>X</w:t>
            </w:r>
          </w:p>
          <w:p w14:paraId="60E389A9" w14:textId="77777777" w:rsidR="002147D8" w:rsidRPr="0097670D" w:rsidRDefault="00890C24">
            <w:pPr>
              <w:jc w:val="center"/>
              <w:rPr>
                <w:color w:val="000000"/>
                <w:sz w:val="20"/>
                <w:szCs w:val="20"/>
              </w:rPr>
            </w:pPr>
            <w:r w:rsidRPr="0097670D">
              <w:rPr>
                <w:color w:val="000000"/>
                <w:sz w:val="20"/>
                <w:szCs w:val="20"/>
              </w:rPr>
              <w:t>(Mistrust)</w:t>
            </w:r>
          </w:p>
        </w:tc>
      </w:tr>
      <w:bookmarkEnd w:id="15"/>
    </w:tbl>
    <w:p w14:paraId="0B46762A" w14:textId="77777777" w:rsidR="002147D8" w:rsidRPr="0097670D" w:rsidRDefault="002147D8">
      <w:pPr>
        <w:pStyle w:val="Corpotesto"/>
        <w:spacing w:before="0" w:line="480" w:lineRule="auto"/>
        <w:rPr>
          <w:sz w:val="22"/>
          <w:szCs w:val="22"/>
        </w:rPr>
      </w:pPr>
    </w:p>
    <w:p w14:paraId="292FE7D3" w14:textId="4761B4BF" w:rsidR="002147D8" w:rsidRPr="0097670D" w:rsidRDefault="00890C24">
      <w:pPr>
        <w:pStyle w:val="Corpotesto"/>
        <w:spacing w:before="0" w:line="480" w:lineRule="auto"/>
        <w:ind w:firstLine="284"/>
        <w:rPr>
          <w:sz w:val="22"/>
          <w:szCs w:val="22"/>
        </w:rPr>
      </w:pPr>
      <w:r w:rsidRPr="0097670D">
        <w:rPr>
          <w:sz w:val="22"/>
          <w:szCs w:val="22"/>
        </w:rPr>
        <w:t>After that, for each archetype, we were able to identify and select the resulting aspects that were simultaneously relevant for both the physician and patient perspectives. In other words, when interviewing both parties, common aspects emerged, and we set those aspects as the most relevant for each archetype. By the end of this process, we had obtained the empirically informed model presented in Figure 1.</w:t>
      </w:r>
    </w:p>
    <w:p w14:paraId="2DDD56D4" w14:textId="77777777" w:rsidR="002147D8" w:rsidRPr="0097670D" w:rsidRDefault="002147D8">
      <w:pPr>
        <w:pStyle w:val="Corpotesto"/>
        <w:spacing w:before="0" w:line="480" w:lineRule="auto"/>
        <w:ind w:firstLine="284"/>
        <w:rPr>
          <w:sz w:val="22"/>
          <w:szCs w:val="22"/>
        </w:rPr>
      </w:pPr>
    </w:p>
    <w:p w14:paraId="1F58E04E" w14:textId="77777777" w:rsidR="002147D8" w:rsidRPr="0097670D" w:rsidRDefault="00890C24">
      <w:pPr>
        <w:keepNext/>
        <w:spacing w:line="480" w:lineRule="auto"/>
        <w:jc w:val="center"/>
        <w:rPr>
          <w:sz w:val="22"/>
          <w:szCs w:val="22"/>
        </w:rPr>
      </w:pPr>
      <w:r w:rsidRPr="0097670D">
        <w:rPr>
          <w:noProof/>
          <w:sz w:val="22"/>
          <w:szCs w:val="22"/>
          <w:lang w:val="it-IT" w:eastAsia="it-IT"/>
        </w:rPr>
        <w:lastRenderedPageBreak/>
        <w:drawing>
          <wp:inline distT="0" distB="0" distL="0" distR="0" wp14:anchorId="7D02EB7F" wp14:editId="741155F4">
            <wp:extent cx="4282046" cy="3417728"/>
            <wp:effectExtent l="0" t="0" r="4445"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8"/>
                    <a:stretch>
                      <a:fillRect/>
                    </a:stretch>
                  </pic:blipFill>
                  <pic:spPr>
                    <a:xfrm>
                      <a:off x="0" y="0"/>
                      <a:ext cx="4282046" cy="3417728"/>
                    </a:xfrm>
                    <a:prstGeom prst="rect">
                      <a:avLst/>
                    </a:prstGeom>
                  </pic:spPr>
                </pic:pic>
              </a:graphicData>
            </a:graphic>
          </wp:inline>
        </w:drawing>
      </w:r>
    </w:p>
    <w:p w14:paraId="2FA1C948" w14:textId="5D581ABB" w:rsidR="002147D8" w:rsidRPr="0097670D" w:rsidRDefault="00890C24">
      <w:pPr>
        <w:pStyle w:val="Didascalia"/>
        <w:spacing w:after="0" w:line="480" w:lineRule="auto"/>
        <w:jc w:val="center"/>
        <w:rPr>
          <w:color w:val="auto"/>
          <w:sz w:val="22"/>
          <w:szCs w:val="22"/>
        </w:rPr>
      </w:pPr>
      <w:r w:rsidRPr="0097670D">
        <w:rPr>
          <w:color w:val="auto"/>
          <w:sz w:val="22"/>
          <w:szCs w:val="22"/>
        </w:rPr>
        <w:t>Figure 1 – Empirically Informed Model for Patient–Physician Relationship Archetyping</w:t>
      </w:r>
    </w:p>
    <w:p w14:paraId="6CB3AACB" w14:textId="77777777" w:rsidR="002147D8" w:rsidRPr="0097670D" w:rsidRDefault="002147D8">
      <w:pPr>
        <w:pStyle w:val="Corpotesto"/>
        <w:spacing w:before="0" w:line="480" w:lineRule="auto"/>
        <w:ind w:firstLine="284"/>
        <w:rPr>
          <w:sz w:val="22"/>
          <w:szCs w:val="22"/>
        </w:rPr>
      </w:pPr>
    </w:p>
    <w:p w14:paraId="43AC0D34" w14:textId="7669A049" w:rsidR="002147D8" w:rsidRPr="0097670D" w:rsidRDefault="00890C24">
      <w:pPr>
        <w:pStyle w:val="Corpotesto"/>
        <w:spacing w:before="0" w:line="480" w:lineRule="auto"/>
        <w:ind w:firstLine="284"/>
        <w:rPr>
          <w:sz w:val="22"/>
          <w:szCs w:val="22"/>
        </w:rPr>
      </w:pPr>
      <w:r w:rsidRPr="0097670D">
        <w:rPr>
          <w:sz w:val="22"/>
          <w:szCs w:val="22"/>
        </w:rPr>
        <w:t>Archetype 1 was named “paternalistic” since, in this archetype, the physician undertakes to supply the needs and regulate the conduct of the patient, who is under their control. This archetype includes aspects such as information asymmetry, high physician control, and patient trust in the physician. The first two features denote a low level of contribution by the patient in terms of value co-creation,</w:t>
      </w:r>
      <w:r w:rsidR="00555176" w:rsidRPr="0097670D">
        <w:rPr>
          <w:sz w:val="22"/>
          <w:szCs w:val="22"/>
        </w:rPr>
        <w:t xml:space="preserve"> and the patient trust in the physician </w:t>
      </w:r>
      <w:r w:rsidRPr="0097670D">
        <w:rPr>
          <w:sz w:val="22"/>
          <w:szCs w:val="22"/>
        </w:rPr>
        <w:t>dismantles defensive behaviours</w:t>
      </w:r>
      <w:r w:rsidR="00555176" w:rsidRPr="0097670D">
        <w:rPr>
          <w:sz w:val="22"/>
          <w:szCs w:val="22"/>
        </w:rPr>
        <w:t xml:space="preserve"> of the latter</w:t>
      </w:r>
      <w:r w:rsidRPr="0097670D">
        <w:rPr>
          <w:sz w:val="22"/>
          <w:szCs w:val="22"/>
        </w:rPr>
        <w:t>.</w:t>
      </w:r>
    </w:p>
    <w:p w14:paraId="3A836D9D" w14:textId="5CF740E0" w:rsidR="002147D8" w:rsidRPr="0097670D" w:rsidRDefault="00890C24">
      <w:pPr>
        <w:pStyle w:val="Corpotesto"/>
        <w:spacing w:before="0" w:line="480" w:lineRule="auto"/>
        <w:ind w:firstLine="284"/>
        <w:rPr>
          <w:sz w:val="22"/>
          <w:szCs w:val="22"/>
        </w:rPr>
      </w:pPr>
      <w:r w:rsidRPr="0097670D">
        <w:rPr>
          <w:sz w:val="22"/>
          <w:szCs w:val="22"/>
        </w:rPr>
        <w:t>Archetype 2 was defined as “collaborative” because service personalization, physician empathy, ability to engage the patient, and mutual trust are its predominant characteristics. In this archetype, patients and doctors collaborate as they work together in a team. In this context, the patient’s active participation in the care process is a natural consequence, as are their interactions with the physician. More value is co-created with this archetype, and the risk of defensive medicine practices is quite low due to reciprocal trust.</w:t>
      </w:r>
    </w:p>
    <w:p w14:paraId="5F110530" w14:textId="3AA1390E" w:rsidR="002147D8" w:rsidRPr="0097670D" w:rsidRDefault="00890C24">
      <w:pPr>
        <w:pStyle w:val="Corpotesto"/>
        <w:spacing w:before="0" w:line="480" w:lineRule="auto"/>
        <w:ind w:firstLine="284"/>
        <w:rPr>
          <w:sz w:val="22"/>
          <w:szCs w:val="22"/>
        </w:rPr>
      </w:pPr>
      <w:r w:rsidRPr="0097670D">
        <w:rPr>
          <w:sz w:val="22"/>
          <w:szCs w:val="22"/>
        </w:rPr>
        <w:t xml:space="preserve">Archetype 3 was termed “informative” because the relationship is more focused on sharing information in this archetype due to the patient’s curiosity or, in the case of hypochondriacs, their need to have every possible aspect of their health conditions under control. Generally, the patient in this type of relationship tends to ask for a lot of information and is sometimes also repetitive; </w:t>
      </w:r>
      <w:r w:rsidRPr="0097670D">
        <w:rPr>
          <w:sz w:val="22"/>
          <w:szCs w:val="22"/>
        </w:rPr>
        <w:lastRenderedPageBreak/>
        <w:t>this may lead to a stressful situation for the physician who tries to provide what is demanded. The likelihood that value co-creation happens is high, as is the risk of incurring defensive behaviours.</w:t>
      </w:r>
    </w:p>
    <w:p w14:paraId="2B00E485" w14:textId="7E9D12E7" w:rsidR="002147D8" w:rsidRPr="0097670D" w:rsidRDefault="00890C24">
      <w:pPr>
        <w:pStyle w:val="Corpotesto"/>
        <w:spacing w:before="0" w:line="480" w:lineRule="auto"/>
        <w:ind w:firstLine="284"/>
        <w:rPr>
          <w:sz w:val="22"/>
          <w:szCs w:val="22"/>
        </w:rPr>
      </w:pPr>
      <w:r w:rsidRPr="0097670D">
        <w:rPr>
          <w:sz w:val="22"/>
          <w:szCs w:val="22"/>
        </w:rPr>
        <w:t>Finally, Archetype 4 was defined as “contractual” because aspects that bring contexts with a high risk of lawsuits, such as the absence of trust and short-term relationships, heavily influence this kind of interaction by making it more formal and interpersonally disengaged. This results in few value co-creation opportunities and a major risk of defensive medicine practices.</w:t>
      </w:r>
    </w:p>
    <w:p w14:paraId="5C4B933D" w14:textId="107E446E" w:rsidR="002147D8" w:rsidRPr="0097670D" w:rsidRDefault="00890C24">
      <w:pPr>
        <w:pStyle w:val="Corpotesto"/>
        <w:spacing w:before="0" w:line="480" w:lineRule="auto"/>
        <w:ind w:firstLine="284"/>
        <w:rPr>
          <w:sz w:val="22"/>
          <w:szCs w:val="22"/>
        </w:rPr>
      </w:pPr>
      <w:r w:rsidRPr="0097670D">
        <w:rPr>
          <w:sz w:val="22"/>
          <w:szCs w:val="22"/>
        </w:rPr>
        <w:t>A detailed description of each patient–physician relationship archetype has been provided in the following sub-sections.</w:t>
      </w:r>
    </w:p>
    <w:p w14:paraId="5A5C6B97" w14:textId="77777777" w:rsidR="002147D8" w:rsidRPr="0097670D" w:rsidRDefault="002147D8">
      <w:pPr>
        <w:pStyle w:val="Corpotesto"/>
        <w:spacing w:before="0" w:line="480" w:lineRule="auto"/>
        <w:ind w:firstLine="284"/>
        <w:rPr>
          <w:sz w:val="22"/>
          <w:szCs w:val="22"/>
        </w:rPr>
      </w:pPr>
    </w:p>
    <w:p w14:paraId="2698774B" w14:textId="77777777" w:rsidR="002147D8" w:rsidRPr="0097670D" w:rsidRDefault="00890C24">
      <w:pPr>
        <w:spacing w:line="480" w:lineRule="auto"/>
        <w:rPr>
          <w:i/>
          <w:sz w:val="22"/>
          <w:szCs w:val="22"/>
        </w:rPr>
      </w:pPr>
      <w:r w:rsidRPr="0097670D">
        <w:rPr>
          <w:i/>
          <w:sz w:val="22"/>
          <w:szCs w:val="22"/>
        </w:rPr>
        <w:t>Paternalistic</w:t>
      </w:r>
    </w:p>
    <w:p w14:paraId="42254041" w14:textId="2D6D1D57" w:rsidR="002147D8" w:rsidRPr="0097670D" w:rsidRDefault="00890C24">
      <w:pPr>
        <w:pStyle w:val="Corpotesto"/>
        <w:spacing w:before="0" w:line="480" w:lineRule="auto"/>
        <w:rPr>
          <w:sz w:val="22"/>
          <w:szCs w:val="22"/>
        </w:rPr>
      </w:pPr>
      <w:r w:rsidRPr="0097670D">
        <w:rPr>
          <w:sz w:val="22"/>
          <w:szCs w:val="22"/>
        </w:rPr>
        <w:t xml:space="preserve">The paternalistic interaction is an older model, and it has been defined as out-dated very often in literature. Today, however, it is still a common practice. Generally, paternalism is seen as an undesirable practice due to moral and social issues </w:t>
      </w:r>
      <w:r w:rsidRPr="0097670D">
        <w:rPr>
          <w:sz w:val="22"/>
          <w:szCs w:val="22"/>
        </w:rPr>
        <w:fldChar w:fldCharType="begin" w:fldLock="1"/>
      </w:r>
      <w:r w:rsidR="00686DE6" w:rsidRPr="0097670D">
        <w:rPr>
          <w:sz w:val="22"/>
          <w:szCs w:val="22"/>
        </w:rPr>
        <w:instrText>ADDIN CSL_CITATION {"citationItems":[{"id":"ITEM-1","itemData":{"DOI":"10.1007/s13398-014-0173-7.2","ISBN":"9780874216561","ISSN":"0717-6163","PMID":"15003161","abstract":"The objective of this case study was to obtain some first-hand information about the functional consequences of a cosmetic tongue split operation for speech and tongue motility. One male patient who had performed the operation on himself was interviewed and underwent a tongue motility assessment, as well as an ultrasound examination. Tongue motility was mildly reduced as a result of tissue scarring. Speech was rated to be fully intelligible and highly acceptable by 4 raters, although 2 raters noticed slight distortions of the sibilants /s/ and /z/. The 3-dimensional ultrasound demonstrated that the synergy of the 2 sides of the tongue was preserved. A notably deep posterior genioglossus furrow indicated compensation for the reduced length of the tongue blade. It is concluded that the tongue split procedure did not significantly affect the participant's speech intelligibility and tongue motility.","author":[{"dropping-particle":"","family":"Brody","given":"Howard","non-dropping-particle":"","parse-names":false,"suffix":""}],"container-title":"Theoretical Medicine","id":"ITEM-1","issue":"2","issued":{"date-parts":[["1987"]]},"page":"205-220","title":"The Physician Patient Relationship:Models and Criticisms","type":"article-journal","volume":"XXXIII"},"uris":["http://www.mendeley.com/documents/?uuid=d39082bd-7c47-4adf-882a-01677eb69712"]}],"mendeley":{"formattedCitation":"(Brody, 1987)","plainTextFormattedCitation":"(Brody, 1987)","previouslyFormattedCitation":"(Brody, 1987)"},"properties":{"noteIndex":0},"schema":"https://github.com/citation-style-language/schema/raw/master/csl-citation.json"}</w:instrText>
      </w:r>
      <w:r w:rsidRPr="0097670D">
        <w:rPr>
          <w:sz w:val="22"/>
          <w:szCs w:val="22"/>
        </w:rPr>
        <w:fldChar w:fldCharType="separate"/>
      </w:r>
      <w:r w:rsidR="00DD223D" w:rsidRPr="0097670D">
        <w:rPr>
          <w:noProof/>
          <w:sz w:val="22"/>
          <w:szCs w:val="22"/>
        </w:rPr>
        <w:t>(Brody, 1987)</w:t>
      </w:r>
      <w:r w:rsidRPr="0097670D">
        <w:rPr>
          <w:sz w:val="22"/>
          <w:szCs w:val="22"/>
        </w:rPr>
        <w:fldChar w:fldCharType="end"/>
      </w:r>
      <w:r w:rsidRPr="0097670D">
        <w:rPr>
          <w:sz w:val="22"/>
          <w:szCs w:val="22"/>
        </w:rPr>
        <w:t xml:space="preserve">, but here we want to rethink this type of relationship by viewing it </w:t>
      </w:r>
      <w:bookmarkStart w:id="16" w:name="_Hlk66810696"/>
      <w:r w:rsidRPr="0097670D">
        <w:rPr>
          <w:sz w:val="22"/>
          <w:szCs w:val="22"/>
        </w:rPr>
        <w:t>from the perspectives of VCC and DM outcomes. Most of all, we observed a beneficial effect from this type of relationship in terms of the risk of defensive medicine behaviour.</w:t>
      </w:r>
      <w:bookmarkEnd w:id="16"/>
    </w:p>
    <w:p w14:paraId="2A1EC672" w14:textId="3CE6E94D" w:rsidR="002147D8" w:rsidRPr="0097670D" w:rsidRDefault="00890C24">
      <w:pPr>
        <w:pStyle w:val="Corpotesto"/>
        <w:spacing w:before="0" w:line="480" w:lineRule="auto"/>
        <w:ind w:firstLine="284"/>
        <w:rPr>
          <w:sz w:val="22"/>
          <w:szCs w:val="22"/>
        </w:rPr>
      </w:pPr>
      <w:r w:rsidRPr="0097670D">
        <w:rPr>
          <w:sz w:val="22"/>
          <w:szCs w:val="22"/>
        </w:rPr>
        <w:t xml:space="preserve">The paternalistic approach is considered to be the traditional consultation model whereby patient involvement is limited to reporting symptoms and not engaging as an active participant in the consultation. Both parties attribute their position to the fact that the physician is an expert and has the right to exercise their specialised knowledge to make informed decisions regarding the management of the patient’s health condition in their best interest. However, this knowledge asymmetry poses a problem in enabling the value co-creation process </w:t>
      </w:r>
      <w:r w:rsidRPr="0097670D">
        <w:rPr>
          <w:sz w:val="22"/>
          <w:szCs w:val="22"/>
        </w:rPr>
        <w:fldChar w:fldCharType="begin" w:fldLock="1"/>
      </w:r>
      <w:r w:rsidRPr="0097670D">
        <w:rPr>
          <w:sz w:val="22"/>
          <w:szCs w:val="22"/>
        </w:rPr>
        <w:instrText>ADDIN CSL_CITATION {"citationItems":[{"id":"ITEM-1","itemData":{"DOI":"10.1108/JSTP-03-2014-0062","ISSN":"20556225","abstract":"Purpose – The purpose of this paper is to investigate value co-creation processes from the focal dyad of the patient and the physician and how their experiences in the consulting room affect the value that is created. Design/methodology/approach – Semi-structured interviews incorporating the critical incident technique (CIT) were conducted with 8 doctors and 24 outpatients in selected hospitals in Ghana, exploring their experiences during their encounter in the service delivery impacting on the value creating healthcare opportunities. An abductive and thematic analytical approach was used to identify 76 useable critical incidents that had clear consequences on both the outcome of the service and the service experiences of the patient. Findings – The study reveals three critical areas needed to support the value co-creation process and respective elements or activities to be considered during the service encounter. The critical areas comprise of the social context, beliefs and perceptions, and partnership between the focal dyad. The findings also suggests that patients do not consider “getting well” as the only value that they seek, but also the total experiences they go through in the consulting room. Also some physicians find it difficult to accept the recent changes in the patients’ behaviour and attitudes, resulting in knowledge conflict that adversely affects actors’ experiences in the consulting room. Research limitations/implications – The study considered only one of the many professionals in the healthcare delivery, which may affect the true value perceptions of the patient. Practical implications – The study provides service providers understanding of the processes that influence the patients’ experiences and value creation and the changing trends in the patient’s attitudes. The findings suggest a need for providers to take a holistic view of the service delivery and consider the critical areas, which could impact on the overall service outcomes. Originality/value – This study extends the research on CIT to exploring the value co-creating processes in the healthcare setting. This also provides clarity in understanding the interdependence of the two actors and how this is managed as a resource in the value co-creation process at the micro level.","author":[{"dropping-particle":"","family":"Osei-Frimpong","given":"Kofi","non-dropping-particle":"","parse-names":false,"suffix":""},{"dropping-particle":"","family":"Wilson","given":"Alan","non-dropping-particle":"","parse-names":false,"suffix":""},{"dropping-particle":"","family":"Owusu-Frimpong","given":"Nana","non-dropping-particle":"","parse-names":false,"suffix":""}],"container-title":"Journal of Service Theory and Practice","id":"ITEM-1","issue":"4","issued":{"date-parts":[["2015"]]},"page":"443-462","publisher":"Emerald Group Publishing Ltd.","title":"Service experiences and dyadic value co-creation in healthcare service delivery: A CIT approach","type":"article-journal","volume":"25"},"uris":["http://www.mendeley.com/documents/?uuid=750aff3f-5d7a-3b1e-a2a6-cb184581235d"]}],"mendeley":{"formattedCitation":"(Osei-Frimpong et al., 2015)","plainTextFormattedCitation":"(Osei-Frimpong et al., 2015)","previouslyFormattedCitation":"(Osei-Frimpong et al., 2015)"},"properties":{"noteIndex":0},"schema":"https://github.com/citation-style-language/schema/raw/master/csl-citation.json"}</w:instrText>
      </w:r>
      <w:r w:rsidRPr="0097670D">
        <w:rPr>
          <w:sz w:val="22"/>
          <w:szCs w:val="22"/>
        </w:rPr>
        <w:fldChar w:fldCharType="separate"/>
      </w:r>
      <w:r w:rsidRPr="0097670D">
        <w:rPr>
          <w:noProof/>
          <w:sz w:val="22"/>
          <w:szCs w:val="22"/>
        </w:rPr>
        <w:t xml:space="preserve">(Osei-Frimpong </w:t>
      </w:r>
      <w:r w:rsidRPr="0097670D">
        <w:rPr>
          <w:i/>
          <w:iCs/>
          <w:noProof/>
          <w:sz w:val="22"/>
          <w:szCs w:val="22"/>
        </w:rPr>
        <w:t>et al.</w:t>
      </w:r>
      <w:r w:rsidRPr="0097670D">
        <w:rPr>
          <w:noProof/>
          <w:sz w:val="22"/>
          <w:szCs w:val="22"/>
        </w:rPr>
        <w:t>, 2015)</w:t>
      </w:r>
      <w:r w:rsidRPr="0097670D">
        <w:rPr>
          <w:sz w:val="22"/>
          <w:szCs w:val="22"/>
        </w:rPr>
        <w:fldChar w:fldCharType="end"/>
      </w:r>
      <w:r w:rsidRPr="0097670D">
        <w:rPr>
          <w:sz w:val="22"/>
          <w:szCs w:val="22"/>
        </w:rPr>
        <w:t>. In some cases, patients may prefer a more passive role, thus favouring a more paternalistic physician style, for example in cases of serious illness or specific medical needs coupled with a patient’s incapacit</w:t>
      </w:r>
      <w:r w:rsidR="00555176" w:rsidRPr="0097670D">
        <w:rPr>
          <w:sz w:val="22"/>
          <w:szCs w:val="22"/>
        </w:rPr>
        <w:t>ations</w:t>
      </w:r>
      <w:r w:rsidRPr="0097670D">
        <w:rPr>
          <w:sz w:val="22"/>
          <w:szCs w:val="22"/>
        </w:rPr>
        <w:t xml:space="preserve"> </w:t>
      </w:r>
      <w:r w:rsidRPr="0097670D">
        <w:rPr>
          <w:sz w:val="22"/>
          <w:szCs w:val="22"/>
        </w:rPr>
        <w:fldChar w:fldCharType="begin" w:fldLock="1"/>
      </w:r>
      <w:r w:rsidRPr="0097670D">
        <w:rPr>
          <w:sz w:val="22"/>
          <w:szCs w:val="22"/>
        </w:rPr>
        <w:instrText>ADDIN CSL_CITATION {"citationItems":[{"id":"ITEM-1","itemData":{"DOI":"10.1016/j.socscimed.2006.11.002","ISSN":"02779536","abstract":"A number of trends, pressures and policy shifts can be identified that are promoting greater patient involvement in health care delivery through consultations, treatments and continuing care. However, while the literature is growing fast on different methods of involvement, little attention has been given so far to the role which patients themselves wish to play, nor even of the conceptual meanings behind involvement or participation. This article reviews the current models of involvement in health care delivery as derived from studies of professional views of current and potential practice, prior to examining the empirical evidence from a large-scale qualitative study of the views and preferences of citizens, as patients, members of voluntary groups, or neither. Individual domiciliary interviews were carried out with 44 people recruited from GP practices in northern England. These respondents were then included in a second phase of 34 focus groups in 6 different localities in northern and southern England, of which 22 were with individuals unaffiliated to any voluntary/community groups, 6 related to local voluntary/community groups with specific interests in health or health care, and 6 related to groups without such specific interests. A final set of 12 workshops with the same samples helped to confirm emergent themes. The qualitative data enabled a taxonomy of patient-desired involvement to be derived, which is contrasted with professional-determined levels of involvement identified from the literature. Participation is seen as being co-determined by patients and professionals, and occurring only through the reciprocal relationships of dialogue and shared decision-making. Not everyone wanted to be involved and the extent to which involvement was desired depended on the contexts of type and seriousness of illness, various personal characteristics and patients' relationships with professionals. These levels are seen to provide basic building blocks for a more sophisticated understanding of involvement within and between these contexts for use by professionals, managers, policy-makers and researchers. © 2006 Elsevier Ltd. All rights reserved.","author":[{"dropping-particle":"","family":"Thompson","given":"Andrew G.H.","non-dropping-particle":"","parse-names":false,"suffix":""}],"container-title":"Social Science and Medicine","id":"ITEM-1","issue":"6","issued":{"date-parts":[["2007","3"]]},"page":"1297-1310","title":"The meaning of patient involvement and participation in health care consultations: A taxonomy","type":"article-journal","volume":"64"},"uris":["http://www.mendeley.com/documents/?uuid=55768e36-6215-38f8-b054-af96a41c14f1"]}],"mendeley":{"formattedCitation":"(Thompson, 2007)","plainTextFormattedCitation":"(Thompson, 2007)","previouslyFormattedCitation":"(Thompson, 2007)"},"properties":{"noteIndex":0},"schema":"https://github.com/citation-style-language/schema/raw/master/csl-citation.json"}</w:instrText>
      </w:r>
      <w:r w:rsidRPr="0097670D">
        <w:rPr>
          <w:sz w:val="22"/>
          <w:szCs w:val="22"/>
        </w:rPr>
        <w:fldChar w:fldCharType="separate"/>
      </w:r>
      <w:r w:rsidRPr="0097670D">
        <w:rPr>
          <w:noProof/>
          <w:sz w:val="22"/>
          <w:szCs w:val="22"/>
        </w:rPr>
        <w:t>(Thompson, 2007)</w:t>
      </w:r>
      <w:r w:rsidRPr="0097670D">
        <w:rPr>
          <w:sz w:val="22"/>
          <w:szCs w:val="22"/>
        </w:rPr>
        <w:fldChar w:fldCharType="end"/>
      </w:r>
      <w:r w:rsidRPr="0097670D">
        <w:rPr>
          <w:sz w:val="22"/>
          <w:szCs w:val="22"/>
        </w:rPr>
        <w:t>.</w:t>
      </w:r>
    </w:p>
    <w:p w14:paraId="79AFCC2B" w14:textId="1C9D0098" w:rsidR="002147D8" w:rsidRPr="0097670D" w:rsidRDefault="00890C24">
      <w:pPr>
        <w:pStyle w:val="Corpotesto"/>
        <w:spacing w:before="0" w:line="480" w:lineRule="auto"/>
        <w:ind w:firstLine="284"/>
        <w:rPr>
          <w:sz w:val="22"/>
          <w:szCs w:val="22"/>
        </w:rPr>
      </w:pPr>
      <w:r w:rsidRPr="0097670D">
        <w:rPr>
          <w:sz w:val="22"/>
          <w:szCs w:val="22"/>
        </w:rPr>
        <w:t xml:space="preserve">The patient, in a paternalistic interaction, tends to refuse active participation in the decision-making process because they believe more in the expertise and medical competences of the </w:t>
      </w:r>
      <w:r w:rsidRPr="0097670D">
        <w:rPr>
          <w:sz w:val="22"/>
          <w:szCs w:val="22"/>
        </w:rPr>
        <w:lastRenderedPageBreak/>
        <w:t>physician rather than their own limited knowledge. For this reason, trust is an essential aspect of this relationship archetype; otherwise, the patient would not comply with the medical indications.</w:t>
      </w:r>
    </w:p>
    <w:p w14:paraId="683875C5" w14:textId="1C7FC3EC" w:rsidR="002147D8" w:rsidRPr="0097670D" w:rsidRDefault="00890C24">
      <w:pPr>
        <w:pStyle w:val="Corpotesto"/>
        <w:spacing w:before="0" w:line="480" w:lineRule="auto"/>
        <w:rPr>
          <w:i/>
          <w:sz w:val="22"/>
          <w:szCs w:val="22"/>
        </w:rPr>
      </w:pPr>
      <w:r w:rsidRPr="0097670D">
        <w:rPr>
          <w:i/>
          <w:sz w:val="22"/>
          <w:szCs w:val="22"/>
        </w:rPr>
        <w:t>“I think that it is important to me to follow the physician’s prescription because she has studied a lot. Thus, she is an expert, and she knows my disease well.”</w:t>
      </w:r>
    </w:p>
    <w:p w14:paraId="590AF2FD" w14:textId="77777777" w:rsidR="002147D8" w:rsidRPr="0097670D" w:rsidRDefault="00890C24">
      <w:pPr>
        <w:pStyle w:val="Corpotesto"/>
        <w:spacing w:before="0" w:line="480" w:lineRule="auto"/>
        <w:jc w:val="right"/>
        <w:rPr>
          <w:i/>
          <w:sz w:val="22"/>
          <w:szCs w:val="22"/>
        </w:rPr>
      </w:pPr>
      <w:r w:rsidRPr="0097670D">
        <w:rPr>
          <w:i/>
          <w:sz w:val="22"/>
          <w:szCs w:val="22"/>
        </w:rPr>
        <w:t>Patient #13</w:t>
      </w:r>
    </w:p>
    <w:p w14:paraId="1418A762" w14:textId="23F95AD0" w:rsidR="002147D8" w:rsidRPr="0097670D" w:rsidRDefault="00890C24">
      <w:pPr>
        <w:pStyle w:val="Corpotesto"/>
        <w:spacing w:before="0" w:line="480" w:lineRule="auto"/>
        <w:ind w:firstLine="284"/>
        <w:rPr>
          <w:sz w:val="22"/>
          <w:szCs w:val="22"/>
        </w:rPr>
      </w:pPr>
      <w:r w:rsidRPr="0097670D">
        <w:rPr>
          <w:sz w:val="22"/>
          <w:szCs w:val="22"/>
        </w:rPr>
        <w:t>Usually, in cases where the physician is the family doctor or a friend or where the patient–physician relationship has been long-lasting, the interactions tend to follow a more paternalistic style because of the solid trust built over time.</w:t>
      </w:r>
    </w:p>
    <w:p w14:paraId="10DA1B6B" w14:textId="7E54049F" w:rsidR="002147D8" w:rsidRPr="0097670D" w:rsidRDefault="00890C24">
      <w:pPr>
        <w:pStyle w:val="Corpotesto"/>
        <w:spacing w:before="0" w:line="480" w:lineRule="auto"/>
        <w:rPr>
          <w:i/>
          <w:sz w:val="22"/>
          <w:szCs w:val="22"/>
        </w:rPr>
      </w:pPr>
      <w:r w:rsidRPr="0097670D">
        <w:rPr>
          <w:i/>
          <w:sz w:val="22"/>
          <w:szCs w:val="22"/>
        </w:rPr>
        <w:t>“Family doctors should be the most trustworthy person among physicians because they follow their patients, ideally, for their entire life.”</w:t>
      </w:r>
    </w:p>
    <w:p w14:paraId="1A5A8FEC" w14:textId="77777777" w:rsidR="002147D8" w:rsidRPr="0097670D" w:rsidRDefault="00890C24">
      <w:pPr>
        <w:pStyle w:val="Corpotesto"/>
        <w:spacing w:before="0" w:line="480" w:lineRule="auto"/>
        <w:ind w:firstLine="284"/>
        <w:jc w:val="right"/>
        <w:rPr>
          <w:i/>
          <w:sz w:val="22"/>
          <w:szCs w:val="22"/>
        </w:rPr>
      </w:pPr>
      <w:r w:rsidRPr="0097670D">
        <w:rPr>
          <w:i/>
          <w:sz w:val="22"/>
          <w:szCs w:val="22"/>
        </w:rPr>
        <w:t>Family doctor</w:t>
      </w:r>
    </w:p>
    <w:p w14:paraId="1F4FFF1E" w14:textId="77777777" w:rsidR="002147D8" w:rsidRPr="0097670D" w:rsidRDefault="002147D8">
      <w:pPr>
        <w:pStyle w:val="Corpotesto"/>
        <w:spacing w:before="0" w:line="480" w:lineRule="auto"/>
        <w:rPr>
          <w:i/>
          <w:sz w:val="22"/>
          <w:szCs w:val="22"/>
        </w:rPr>
      </w:pPr>
    </w:p>
    <w:p w14:paraId="5AFAE615" w14:textId="77777777" w:rsidR="002147D8" w:rsidRPr="0097670D" w:rsidRDefault="00890C24">
      <w:pPr>
        <w:pStyle w:val="Corpotesto"/>
        <w:spacing w:before="0" w:line="480" w:lineRule="auto"/>
        <w:rPr>
          <w:i/>
          <w:sz w:val="22"/>
          <w:szCs w:val="22"/>
        </w:rPr>
      </w:pPr>
      <w:r w:rsidRPr="0097670D">
        <w:rPr>
          <w:i/>
          <w:sz w:val="22"/>
          <w:szCs w:val="22"/>
        </w:rPr>
        <w:t>Collaborative</w:t>
      </w:r>
    </w:p>
    <w:p w14:paraId="665998B5" w14:textId="35BB11D6" w:rsidR="002147D8" w:rsidRPr="0097670D" w:rsidRDefault="00890C24">
      <w:pPr>
        <w:pStyle w:val="Corpotesto"/>
        <w:spacing w:before="0" w:line="480" w:lineRule="auto"/>
        <w:rPr>
          <w:sz w:val="22"/>
          <w:szCs w:val="22"/>
        </w:rPr>
      </w:pPr>
      <w:r w:rsidRPr="0097670D">
        <w:rPr>
          <w:sz w:val="22"/>
          <w:szCs w:val="22"/>
        </w:rPr>
        <w:t xml:space="preserve">Collaborative relationships can be seen as being co-determined by patients and medical professionals and occurring only through reciprocal relationships with the use of dialogues and shared decision-making. Collaboration between the parties enables the co-creation of value, which implies not only benefits for the patients but also for the service provider </w:t>
      </w:r>
      <w:r w:rsidRPr="0097670D">
        <w:rPr>
          <w:sz w:val="22"/>
          <w:szCs w:val="22"/>
        </w:rPr>
        <w:fldChar w:fldCharType="begin" w:fldLock="1"/>
      </w:r>
      <w:r w:rsidRPr="0097670D">
        <w:rPr>
          <w:sz w:val="22"/>
          <w:szCs w:val="22"/>
        </w:rPr>
        <w:instrText>ADDIN CSL_CITATION {"citationItems":[{"id":"ITEM-1","itemData":{"DOI":"10.2147/ieh.s93473","ISSN":"2324-5905","abstract":"Consumers value health and a sense of well-being. The health care system cannot supply these values, but only “products” such as hospitalization, ambulatory care, medica- tions, procedures, and preventative care. These components of health care represent neither the value within the system nor the desired final output. Nonetheless, the health care system has focused inordinately on the products, to the point of suggesting that they have intrinsic value. We link this situation to the concept of goods-dominant logic, which has dominated business and managerial thinking since the Industrial Revolution. We then explain why and how moving to service-dominant logic is essential for consumers and providers to better cocreate value from products which are not intrinsically valuable. The challenge of cocreating value is confounded by information asymmetry, and by the myriad factors in the health care ecosystem that contribute to or detract from health and well-being. A new lexicon, emanating from service-dominant logic, is suggested to facilitate the move away from a goods-dominant mindset.","author":[{"dropping-particle":"","family":"Joiner","given":"Keith","non-dropping-particle":"","parse-names":false,"suffix":""},{"dropping-particle":"","family":"Lusch","given":"Robert","non-dropping-particle":"","parse-names":false,"suffix":""}],"container-title":"Innovation and Entrepreneurship in Health","id":"ITEM-1","issued":{"date-parts":[["2016"]]},"page":"25","title":"Evolving to a new service-dominant logic for health care","type":"article-journal"},"uris":["http://www.mendeley.com/documents/?uuid=e445a5bd-08f6-4c02-a72f-82d550edbb5f"]}],"mendeley":{"formattedCitation":"(Joiner and Lusch, 2016)","plainTextFormattedCitation":"(Joiner and Lusch, 2016)","previouslyFormattedCitation":"(Joiner and Lusch, 2016)"},"properties":{"noteIndex":0},"schema":"https://github.com/citation-style-language/schema/raw/master/csl-citation.json"}</w:instrText>
      </w:r>
      <w:r w:rsidRPr="0097670D">
        <w:rPr>
          <w:sz w:val="22"/>
          <w:szCs w:val="22"/>
        </w:rPr>
        <w:fldChar w:fldCharType="separate"/>
      </w:r>
      <w:r w:rsidRPr="0097670D">
        <w:rPr>
          <w:noProof/>
          <w:sz w:val="22"/>
          <w:szCs w:val="22"/>
        </w:rPr>
        <w:t>(Joiner and Lusch, 2016)</w:t>
      </w:r>
      <w:r w:rsidRPr="0097670D">
        <w:rPr>
          <w:sz w:val="22"/>
          <w:szCs w:val="22"/>
        </w:rPr>
        <w:fldChar w:fldCharType="end"/>
      </w:r>
      <w:r w:rsidRPr="0097670D">
        <w:rPr>
          <w:sz w:val="22"/>
          <w:szCs w:val="22"/>
        </w:rPr>
        <w:t>. However, collaborative practices are not easily applicable and depend on factors such as cognitive and behavioural aspects of both parties, their personal traits, the patient’s medical conditions, and general socio-cultural contexts.</w:t>
      </w:r>
    </w:p>
    <w:p w14:paraId="164432DF" w14:textId="415E56E6" w:rsidR="002147D8" w:rsidRPr="0097670D" w:rsidRDefault="00890C24">
      <w:pPr>
        <w:pStyle w:val="Corpotesto"/>
        <w:spacing w:before="0" w:line="480" w:lineRule="auto"/>
        <w:ind w:firstLine="284"/>
        <w:rPr>
          <w:sz w:val="22"/>
          <w:szCs w:val="22"/>
        </w:rPr>
      </w:pPr>
      <w:r w:rsidRPr="0097670D">
        <w:rPr>
          <w:sz w:val="22"/>
          <w:szCs w:val="22"/>
        </w:rPr>
        <w:t xml:space="preserve">One of the key elements that emerged from the interviews is the factor of time. In order to have a strong collaboration, time is required in order to build up and strengthen the relationship. For this reason, some studies show how the results are far more relevant, in terms of value co-created, for chronic conditions, such as hypertension, diabetes, and other diseases linked to metabolism dysfunctions </w:t>
      </w:r>
      <w:r w:rsidRPr="0097670D">
        <w:rPr>
          <w:sz w:val="22"/>
          <w:szCs w:val="22"/>
        </w:rPr>
        <w:fldChar w:fldCharType="begin" w:fldLock="1"/>
      </w:r>
      <w:r w:rsidRPr="0097670D">
        <w:rPr>
          <w:sz w:val="22"/>
          <w:szCs w:val="22"/>
        </w:rPr>
        <w:instrText>ADDIN CSL_CITATION {"citationItems":[{"id":"ITEM-1","itemData":{"DOI":"10.1016/j.pec.2006.05.002","ISSN":"07383991","abstract":"Objective: To consider the conceptualisation of patient involvement in treatment decision-making. Method: Conceptual review. Results: Current models and measures of patient involvement in treatment decision-making tend to focus on communication within consultations and/or on the patient's use of information to consider the selection of one treatment option from a well-defined set. These narrowly focused models and measures may obscure the relevance of patient involvement in decision-making for some health care contexts and limit investigations of the relationships between patient involvement in decision-making and health care outcomes. We outline a broader conceptual framework that reflects more of the complexity of the concept of involvement. It acknowledges that patients can be involved not only because of what they say and do to influence a decision, but also by virtue of what they think and feel about their roles, efforts and contributions to decision-making and their relationships with their clinicians. The framework encompasses the full range of activities associated with decision-making. Conclusion: The proposed conceptual framework may broaden the relevance of patient involvement in decision-making and encourage a more comprehensive characterisation that may facilitate more sophisticated investigations of the relationships between patient involvement in decision-making and health care outcomes. Practice implications: Clinicians who aspire to facilitate patient involvement in decision-making need to look beyond the way they discuss health care options with patients. They should also consider how they might enable patients to engage in the full range of decision-making activities and to develop a positive sense of involvement in these activities and with their clinicians. © 2006 Elsevier Ireland Ltd. All rights reserved.","author":[{"dropping-particle":"","family":"Entwistle","given":"Vikki A.","non-dropping-particle":"","parse-names":false,"suffix":""},{"dropping-particle":"","family":"Watt","given":"Ian S.","non-dropping-particle":"","parse-names":false,"suffix":""}],"container-title":"Patient Education and Counseling","id":"ITEM-1","issue":"3 SPEC. ISS.","issued":{"date-parts":[["2006"]]},"page":"268-278","publisher":"Elsevier Ireland Ltd","title":"Patient involvement in treatment decision-making: The case for a broader conceptual framework","type":"article-journal","volume":"63"},"uris":["http://www.mendeley.com/documents/?uuid=b72e8593-c4de-32bb-9786-14b4743c5d36"]},{"id":"ITEM-2","itemData":{"DOI":"10.1177/1094670512442806","ISSN":"10946705","abstract":"This article explores in-depth what health care customers actually do when they cocreate value. Combining previously published research with data collected from depth interviews, field observation, and focus groups, the authors identify distinct styles of health care customer value cocreation practice. Importantly, the authors show how customers can contribute to their own value creation through their own (self) activities in managing their health care. Building on past work in service-dominant (S-D) logic, consumer culture theory and social practice theory, the authors identify \"roles,\" \"activities,\" and \"interactions\" that underlie customer cocreation of value in health care. The authors uncover five groupings of customer value cocreation practices yielding a typology of practice styles and link these to quality of life. The practice styles are \"team management,\" \"insular controlling,\" \"partnering,\" \"pragmatic adapting,\" and \"passive compliance.\" Two in particular, team management and partnering, should be encouraged by managers as they tend to be associated with higher quality of life. The authors provide a health care Customer Value Cocreation Practice Styles (CVCPS) typology. The usefulness of the typology is demonstrated by showing links to quality of life and its potential application to other health care settings. © The Author(s) 2012.","author":[{"dropping-particle":"","family":"McColl-Kennedy","given":"Janet R.","non-dropping-particle":"","parse-names":false,"suffix":""},{"dropping-particle":"","family":"Vargo","given":"Stephen L.","non-dropping-particle":"","parse-names":false,"suffix":""},{"dropping-particle":"","family":"Dagger","given":"Tracey S.","non-dropping-particle":"","parse-names":false,"suffix":""},{"dropping-particle":"","family":"Sweeney","given":"Jillian C.","non-dropping-particle":"","parse-names":false,"suffix":""},{"dropping-particle":"","family":"Kasteren","given":"Yasmin","non-dropping-particle":"van","parse-names":false,"suffix":""}],"container-title":"Journal of Service Research","id":"ITEM-2","issue":"4","issued":{"date-parts":[["2012","11"]]},"page":"370-389","title":"Health Care Customer Value Cocreation Practice Styles","type":"article-journal","volume":"15"},"uris":["http://www.mendeley.com/documents/?uuid=21604ebe-bf57-3f7f-b4ef-39273b5c26ba"]},{"id":"ITEM-3","itemData":{"DOI":"10.1056/nejmc1101108","ISSN":"00284793","PMID":"21449777","abstract":"n engl j med 363;26 nejm.org december 23, 2010 2477 myriad, often conflicting goals, including access to services, profitability , high quality, cost containment , safety, convenience, patient-centeredness, and satisfaction. Lack of clarity about goals has led to divergent approaches , gaming of the system, and slow progress in performance improvement. Achieving high value for patients must become the over-arching goal of health care delivery , with value defined as the health outcomes achieved per dollar spent. 1 This goal is what matters for patients and unites the interests of all actors in the system. If value improves, patients, payers, providers, and suppliers can all benefit while the economic sustainability of the health care system increases. Value-neither an abstract ideal nor a code word for cost reduction-should define the framework for performance improvement in health care. Rigorous , disciplined measurement and improvement of value is the best way to drive system progress. Yet value in health care remains largely unmeasured and misunderstood. Value should always be defined around the customer, and in a well-functioning health care system, the creation of value for patients should determine the rewards for all other actors in the system. Since value depends on results, not inputs, value in health care is measured by the outcomes achieved, not the volume of services delivered, and shifting focus from volume to value is a central challenge. Nor is value measured by the process of care used; process measurement and improvement are important tactics but are no substitutes for measuring outcomes and costs. Since value is defined as outcomes relative to costs, it encompasses efficiency. Cost reduction without regard to the outcomes achieved is dangerous and self-defeating, leading to false \"sav-ings\" and potentially limiting effective care. Outcomes, the numerator of the value equation, are inherently condition-specific and multidi-mensional. For any medical condition , no single outcome captures the results of care. Cost, the equation's denominator, refers to the total costs of the full cycle of care for the patient's medical condition, not the cost of individual services. To reduce cost, the best approach is often to spend more on some services to reduce the need for others.","author":[{"dropping-particle":"","family":"Porter","given":"Michael E.","non-dropping-particle":"","parse-names":false,"suffix":""}],"container-title":"New England Journal of Medicine","id":"ITEM-3","issue":"13","issued":{"date-parts":[["2010"]]},"title":"What is value in health care?","type":"report","volume":"363"},"uris":["http://www.mendeley.com/documents/?uuid=4b9a5d37-b942-3c89-9306-005fc3ac8e32"]},{"id":"ITEM-4","itemData":{"DOI":"10.2147/ieh.s93473","ISSN":"2324-5905","abstract":"Consumers value health and a sense of well-being. The health care system cannot supply these values, but only “products” such as hospitalization, ambulatory care, medica- tions, procedures, and preventative care. These components of health care represent neither the value within the system nor the desired final output. Nonetheless, the health care system has focused inordinately on the products, to the point of suggesting that they have intrinsic value. We link this situation to the concept of goods-dominant logic, which has dominated business and managerial thinking since the Industrial Revolution. We then explain why and how moving to service-dominant logic is essential for consumers and providers to better cocreate value from products which are not intrinsically valuable. The challenge of cocreating value is confounded by information asymmetry, and by the myriad factors in the health care ecosystem that contribute to or detract from health and well-being. A new lexicon, emanating from service-dominant logic, is suggested to facilitate the move away from a goods-dominant mindset.","author":[{"dropping-particle":"","family":"Joiner","given":"Keith","non-dropping-particle":"","parse-names":false,"suffix":""},{"dropping-particle":"","family":"Lusch","given":"Robert","non-dropping-particle":"","parse-names":false,"suffix":""}],"container-title":"Innovation and Entrepreneurship in Health","id":"ITEM-4","issued":{"date-parts":[["2016"]]},"page":"25","title":"Evolving to a new service-dominant logic for health care","type":"article-journal"},"uris":["http://www.mendeley.com/documents/?uuid=e445a5bd-08f6-4c02-a72f-82d550edbb5f"]},{"id":"ITEM-5","itemData":{"DOI":"10.1016/S0277-9536(98)00059-8","ISSN":"02779536","abstract":"We review the research both for and against patient participation in decision-making and conclude that (a) patients want to be informed of treatment alternatives, (b) they, in general, want to be involved in treatment decisions when more than one treatment alternative exists, and (c) the benefits of participation have not yet been clearly demonstrated in research studies. However, studies that have addressed the latter issue suffer from methodological problems such as small sample sizes and lack of control for potential confounding variables. We conclude that patient participation in decision-making is justified on humane grounds alone and that physicians should endeavor to engage patients in decision-making, albeit at varying degrees, when more than one effective treatment option exists. We propose that methods be developed to evaluate a patient's level of 'readiness' to participate in decision-making and that interventions that match the patient's level of readiness be applied to increase participation.","author":[{"dropping-particle":"","family":"Guadagnoli","given":"Edward","non-dropping-particle":"","parse-names":false,"suffix":""},{"dropping-particle":"","family":"Ward","given":"Patricia","non-dropping-particle":"","parse-names":false,"suffix":""}],"container-title":"Social Science and Medicine","id":"ITEM-5","issue":"3","issued":{"date-parts":[["1998"]]},"number-of-pages":"329-339","title":"Patient participation in decision-making","type":"report","volume":"47"},"uris":["http://www.mendeley.com/documents/?uuid=34233d91-2a47-3c1a-8fae-cecaf5844c93"]},{"id":"ITEM-6","itemData":{"DOI":"10.1016/j.socscimed.2006.11.002","ISSN":"02779536","abstract":"A number of trends, pressures and policy shifts can be identified that are promoting greater patient involvement in health care delivery through consultations, treatments and continuing care. However, while the literature is growing fast on different methods of involvement, little attention has been given so far to the role which patients themselves wish to play, nor even of the conceptual meanings behind involvement or participation. This article reviews the current models of involvement in health care delivery as derived from studies of professional views of current and potential practice, prior to examining the empirical evidence from a large-scale qualitative study of the views and preferences of citizens, as patients, members of voluntary groups, or neither. Individual domiciliary interviews were carried out with 44 people recruited from GP practices in northern England. These respondents were then included in a second phase of 34 focus groups in 6 different localities in northern and southern England, of which 22 were with individuals unaffiliated to any voluntary/community groups, 6 related to local voluntary/community groups with specific interests in health or health care, and 6 related to groups without such specific interests. A final set of 12 workshops with the same samples helped to confirm emergent themes. The qualitative data enabled a taxonomy of patient-desired involvement to be derived, which is contrasted with professional-determined levels of involvement identified from the literature. Participation is seen as being co-determined by patients and professionals, and occurring only through the reciprocal relationships of dialogue and shared decision-making. Not everyone wanted to be involved and the extent to which involvement was desired depended on the contexts of type and seriousness of illness, various personal characteristics and patients' relationships with professionals. These levels are seen to provide basic building blocks for a more sophisticated understanding of involvement within and between these contexts for use by professionals, managers, policy-makers and researchers. © 2006 Elsevier Ltd. All rights reserved.","author":[{"dropping-particle":"","family":"Thompson","given":"Andrew G.H.","non-dropping-particle":"","parse-names":false,"suffix":""}],"container-title":"Social Science and Medicine","id":"ITEM-6","issue":"6","issued":{"date-parts":[["2007","3"]]},"page":"1297-1310","title":"The meaning of patient involvement and participation in health care consultations: A taxonomy","type":"article-journal","volume":"64"},"uris":["http://www.mendeley.com/documents/?uuid=55768e36-6215-38f8-b054-af96a41c14f1"]},{"id":"ITEM-7","itemData":{"DOI":"10.1016/j.jom.2016.10.001","ISSN":"02726963","abstract":"In services, which require significant customer participation to create value, customers who lack the knowledge, skills and motivation necessary to participate effectively can negatively impact service quality and cost outcomes. This paper develops a conceptual model to investigate the effectiveness of utilizing customer training and education (CTE) to improve customer readiness to provide effective behaviors in a professional service. The model was tested using survey data from patients diagnosed with diabetes who received CTE as part of their healthcare service. We found that customers who are taught why they have to perform the tasks, have higher levels of motivation to perform these tasks effectively. Further, as proposed by the customer readiness model, when their task performance is higher, they have improved health and lower healthcare costs.","author":[{"dropping-particle":"","family":"Damali","given":"Uzay","non-dropping-particle":"","parse-names":false,"suffix":""},{"dropping-particle":"","family":"Miller","given":"Janis L.","non-dropping-particle":"","parse-names":false,"suffix":""},{"dropping-particle":"","family":"Fredendall","given":"Lawrence D.","non-dropping-particle":"","parse-names":false,"suffix":""},{"dropping-particle":"","family":"Moore","given":"De Wayne","non-dropping-particle":"","parse-names":false,"suffix":""},{"dropping-particle":"","family":"Dye","given":"Cheryl J.","non-dropping-particle":"","parse-names":false,"suffix":""}],"container-title":"Journal of Operations Management","id":"ITEM-7","issued":{"date-parts":[["2016","11","1"]]},"page":"80-97","publisher":"Elsevier B.V.","title":"Co-creating value using customer training and education in a healthcare service design","type":"article-journal","volume":"47-48"},"uris":["http://www.mendeley.com/documents/?uuid=11d74e84-e4b0-3392-a886-2371c8774f4e"]},{"id":"ITEM-8","itemData":{"DOI":"10.1186/s12913-016-1957-6","ISSN":"14726963","abstract":"Background: There is a trend towards value-based health service, striving to cut costs while generating value for the patient. The overall objective comprises higher-quality health services and improved patient safety and cost efficiency. The approach could align with patient-centred care, as it entails a focus on the patient’s experience of her or his entire cycle of care, including the use of well-defined outcome measurements. Challenges arise when the approach is applied to health services for people living with long-term complex conditions that require support from various healthcare services. The aim of this work is to critically discuss the value-based approach and its implications for patients with long-term complex conditions. Two cases from clinical practice and research form the foundation for our reasoning, illustrating several challenges regarding value-based health services for people living with long-term complex conditions. Discussion: Achieving value-based health services that provide the health outcomes that matter to patients and providing greater patient-centredness will place increased demands on the healthcare system. Patients and their informal caregivers must be included in the development and establishment of outcome measures. The outcome measures must be standardized to allow evaluation of specific conditions at an aggregated level, but they must also be sensitive enough to capture each patient’s individual needs and goals. Healthcare systems that strive to establish value-based services must collaborate beyond the organizational boundaries to create clear patient trajectories in order to avoid fragmentation. Summary: The shift towards value-based health services has the potential to align healthcare-service delivery with patient-centred care if serious efforts to take the patient’s perspective into account are made. This is especially challenging in fragmented healthcare systems and for patients with long-term- and multi-setting-care needs.","author":[{"dropping-particle":"","family":"Elf","given":"Marie","non-dropping-particle":"","parse-names":false,"suffix":""},{"dropping-particle":"","family":"Flink","given":"Maria","non-dropping-particle":"","parse-names":false,"suffix":""},{"dropping-particle":"","family":"Nilsson","given":"Marie","non-dropping-particle":"","parse-names":false,"suffix":""},{"dropping-particle":"","family":"Tistad","given":"Malin","non-dropping-particle":"","parse-names":false,"suffix":""},{"dropping-particle":"","family":"Koch","given":"Lena","non-dropping-particle":"Von","parse-names":false,"suffix":""},{"dropping-particle":"","family":"Ytterberg","given":"Charlotte","non-dropping-particle":"","parse-names":false,"suffix":""}],"container-title":"BMC Health Services Research","id":"ITEM-8","issue":"1","issued":{"date-parts":[["2017","1","11"]]},"page":"1-6","publisher":"BioMed Central Ltd.","title":"The case of value-based healthcare for people living with complex long-term conditions","type":"article-journal","volume":"17"},"uris":["http://www.mendeley.com/documents/?uuid=4832c113-efe0-30ea-a8fb-6f3b68ebaf77"]},{"id":"ITEM-9","itemData":{"DOI":"10.1108/09564231211248435","ISSN":"17575818","abstract":"Purpose: The purpose of this study is to develop and evaluate a model for patient co-creation and learning based on diaries for use in health-care service development. In particular, the study aims to investigate the process of patient co-creation and different mechanisms through which health-care service providers can learn from the patient. Design/methodology/approach: The study is based on an action research approach. First, a development phase for patient co-creation and learning leading to a proposed model was conducted. Second, a test phase of the diary-based method was performed on 53 patients in three cases: orthopaedic care, rehabilitation care and gastroenterology care. Findings: The study suggests a model for co-creation and learning in health-care service development through three learning methods. First, the model may be used as a means for generating and collecting patient ideas; second, a single patient's story can be illustrated and can serve as incentive for health-care service development and creation of patient-centred care; finally, a larger number of diaries can be analysed and combined with patient surveys to provide a deeper understanding of how the patient experiences health care services. Originality/value: This study extends the research on diary-based methods as an operationalisation of co-creation in two ways. First, the study offers new and more diverse ways of using the rich material provided by customer diaries in the development of services. Second, the study suggests a co-creation approach of involving patients in health-care service development through patient diaries. © Emerald Group Publishing Limited.","author":[{"dropping-particle":"","family":"Elg","given":"Mattias","non-dropping-particle":"","parse-names":false,"suffix":""},{"dropping-particle":"","family":"Engström","given":"Jon","non-dropping-particle":"","parse-names":false,"suffix":""},{"dropping-particle":"","family":"Witell","given":"Lars","non-dropping-particle":"","parse-names":false,"suffix":""},{"dropping-particle":"","family":"Poksinska","given":"Bozena","non-dropping-particle":"","parse-names":false,"suffix":""}],"container-title":"Journal of Service Management","id":"ITEM-9","issue":"3","issued":{"date-parts":[["2012","6"]]},"page":"328-343","title":"Co-creation and learning in health-care service development","type":"article-journal","volume":"23"},"uris":["http://www.mendeley.com/documents/?uuid=916c892d-266f-3187-aca4-40aca90ca2c4"]},{"id":"ITEM-10","itemData":{"DOI":"10.1177/1094670515572128","ISSN":"15527379","abstract":"Transformative service research is particularly relevant in health care where the firm and customer can contribute to individual as well as societal well-being. This article explores customer value cocreation in health care, identifying a hierarchy of activities representing varying levels of customer effort from complying with basic requirements (less effort and easier tasks) to extensive decision making (more effort and more difficult tasks). We define customer Effort in Value Cocreation Activities (EVCA) as the degree of effort that customers exert to integrate resources, through a range of activities of varying levels of perceived difficulty. Our findings underscore the importance of viewing health care service as taking place within the customer’s service network that extends well beyond the customer-firm dyad to include other market-facing as well as public and private resources. Moreover, we demonstrate the transformative potential of customer EVCA linking customer EVCA to quality of life, satisfaction with service and behavioral intentions. We do so across three prevalent chronic diseases—cancer, heart disease, and diabetes. Our findings highlight how an integrated care model has benefits for both customers and providers and can enhance customer EVCA.","author":[{"dropping-particle":"","family":"Sweeney","given":"Jillian C.","non-dropping-particle":"","parse-names":false,"suffix":""},{"dropping-particle":"","family":"Danaher","given":"Tracey S.","non-dropping-particle":"","parse-names":false,"suffix":""},{"dropping-particle":"","family":"McColl-Kennedy","given":"Janet R.","non-dropping-particle":"","parse-names":false,"suffix":""}],"container-title":"Journal of Service Research","id":"ITEM-10","issue":"3","issued":{"date-parts":[["2015","8","14"]]},"page":"318-335","publisher":"SAGE Publications Inc.","title":"Customer Effort in Value Cocreation Activities: Improving Quality of Life and Behavioral Intentions of Health Care Customers","type":"article-journal","volume":"18"},"uris":["http://www.mendeley.com/documents/?uuid=f4575119-382b-39a5-a3dc-587d324e4cf7"]}],"mendeley":{"formattedCitation":"(Damali et al., 2016; Elf et al., 2017; Elg et al., 2012; Entwistle and Watt, 2006; Guadagnoli and Ward, 1998; Joiner and Lusch, 2016; McColl-Kennedy et al., 2012; Porter, 2010; Sweeney et al., 2015; Thompson, 2007)","plainTextFormattedCitation":"(Damali et al., 2016; Elf et al., 2017; Elg et al., 2012; Entwistle and Watt, 2006; Guadagnoli and Ward, 1998; Joiner and Lusch, 2016; McColl-Kennedy et al., 2012; Porter, 2010; Sweeney et al., 2015; Thompson, 2007)","previouslyFormattedCitation":"(Damali et al., 2016; Elf et al., 2017; Elg et al., 2012; Entwistle and Watt, 2006; Guadagnoli and Ward, 1998; Joiner and Lusch, 2016; McColl-Kennedy et al., 2012; Porter, 2010; Sweeney et al., 2015; Thompson, 2007)"},"properties":{"noteIndex":0},"schema":"https://github.com/citation-style-language/schema/raw/master/csl-citation.json"}</w:instrText>
      </w:r>
      <w:r w:rsidRPr="0097670D">
        <w:rPr>
          <w:sz w:val="22"/>
          <w:szCs w:val="22"/>
        </w:rPr>
        <w:fldChar w:fldCharType="separate"/>
      </w:r>
      <w:r w:rsidRPr="0097670D">
        <w:rPr>
          <w:noProof/>
          <w:sz w:val="22"/>
          <w:szCs w:val="22"/>
        </w:rPr>
        <w:t xml:space="preserve">(Damali </w:t>
      </w:r>
      <w:r w:rsidRPr="0097670D">
        <w:rPr>
          <w:i/>
          <w:iCs/>
          <w:noProof/>
          <w:sz w:val="22"/>
          <w:szCs w:val="22"/>
        </w:rPr>
        <w:t>et al.</w:t>
      </w:r>
      <w:r w:rsidRPr="0097670D">
        <w:rPr>
          <w:noProof/>
          <w:sz w:val="22"/>
          <w:szCs w:val="22"/>
        </w:rPr>
        <w:t xml:space="preserve">, 2016; Elf </w:t>
      </w:r>
      <w:r w:rsidRPr="0097670D">
        <w:rPr>
          <w:i/>
          <w:iCs/>
          <w:noProof/>
          <w:sz w:val="22"/>
          <w:szCs w:val="22"/>
        </w:rPr>
        <w:t>et al.</w:t>
      </w:r>
      <w:r w:rsidRPr="0097670D">
        <w:rPr>
          <w:noProof/>
          <w:sz w:val="22"/>
          <w:szCs w:val="22"/>
        </w:rPr>
        <w:t xml:space="preserve">, 2017; Elg </w:t>
      </w:r>
      <w:r w:rsidRPr="0097670D">
        <w:rPr>
          <w:i/>
          <w:iCs/>
          <w:noProof/>
          <w:sz w:val="22"/>
          <w:szCs w:val="22"/>
        </w:rPr>
        <w:t>et al.</w:t>
      </w:r>
      <w:r w:rsidRPr="0097670D">
        <w:rPr>
          <w:noProof/>
          <w:sz w:val="22"/>
          <w:szCs w:val="22"/>
        </w:rPr>
        <w:t xml:space="preserve">, 2012; Entwistle and Watt, 2006; Guadagnoli and Ward, 1998; Joiner and Lusch, 2016; McColl-Kennedy </w:t>
      </w:r>
      <w:r w:rsidRPr="0097670D">
        <w:rPr>
          <w:i/>
          <w:iCs/>
          <w:noProof/>
          <w:sz w:val="22"/>
          <w:szCs w:val="22"/>
        </w:rPr>
        <w:t>et al.</w:t>
      </w:r>
      <w:r w:rsidRPr="0097670D">
        <w:rPr>
          <w:noProof/>
          <w:sz w:val="22"/>
          <w:szCs w:val="22"/>
        </w:rPr>
        <w:t xml:space="preserve">, 2012; Porter, 2010; Sweeney </w:t>
      </w:r>
      <w:r w:rsidRPr="0097670D">
        <w:rPr>
          <w:i/>
          <w:iCs/>
          <w:noProof/>
          <w:sz w:val="22"/>
          <w:szCs w:val="22"/>
        </w:rPr>
        <w:t>et al.</w:t>
      </w:r>
      <w:r w:rsidRPr="0097670D">
        <w:rPr>
          <w:noProof/>
          <w:sz w:val="22"/>
          <w:szCs w:val="22"/>
        </w:rPr>
        <w:t>, 2015; Thompson, 2007)</w:t>
      </w:r>
      <w:r w:rsidRPr="0097670D">
        <w:rPr>
          <w:sz w:val="22"/>
          <w:szCs w:val="22"/>
        </w:rPr>
        <w:fldChar w:fldCharType="end"/>
      </w:r>
      <w:r w:rsidRPr="0097670D">
        <w:rPr>
          <w:sz w:val="22"/>
          <w:szCs w:val="22"/>
        </w:rPr>
        <w:t xml:space="preserve">. This is because the greatest effort in the </w:t>
      </w:r>
      <w:r w:rsidRPr="0097670D">
        <w:rPr>
          <w:sz w:val="22"/>
          <w:szCs w:val="22"/>
        </w:rPr>
        <w:lastRenderedPageBreak/>
        <w:t>healing process, or in maintaining good health in these situations, must be accomplished by the patient.</w:t>
      </w:r>
    </w:p>
    <w:p w14:paraId="516043B1" w14:textId="08EA04DF" w:rsidR="002147D8" w:rsidRPr="0097670D" w:rsidRDefault="00890C24">
      <w:pPr>
        <w:pStyle w:val="Corpotesto"/>
        <w:spacing w:before="0" w:line="480" w:lineRule="auto"/>
        <w:rPr>
          <w:i/>
          <w:sz w:val="22"/>
          <w:szCs w:val="22"/>
        </w:rPr>
      </w:pPr>
      <w:r w:rsidRPr="0097670D">
        <w:rPr>
          <w:i/>
          <w:sz w:val="22"/>
          <w:szCs w:val="22"/>
        </w:rPr>
        <w:t>“NAFLD (Non-Alcoholic Fatty Liver Disease) is an example in which the patient is the only active part of the healing process because they have to change their lifestyle. There is no pharmacological treatment, so the only way is following a diet, doing sport, and being responsible.”</w:t>
      </w:r>
    </w:p>
    <w:p w14:paraId="7511BD5B" w14:textId="77777777" w:rsidR="002147D8" w:rsidRPr="0097670D" w:rsidRDefault="00890C24">
      <w:pPr>
        <w:pStyle w:val="Corpotesto"/>
        <w:spacing w:before="0" w:line="480" w:lineRule="auto"/>
        <w:ind w:firstLine="284"/>
        <w:jc w:val="right"/>
        <w:rPr>
          <w:i/>
          <w:sz w:val="22"/>
          <w:szCs w:val="22"/>
        </w:rPr>
      </w:pPr>
      <w:r w:rsidRPr="0097670D">
        <w:rPr>
          <w:i/>
          <w:sz w:val="22"/>
          <w:szCs w:val="22"/>
        </w:rPr>
        <w:t>Gastroenterologist</w:t>
      </w:r>
    </w:p>
    <w:p w14:paraId="449A4704" w14:textId="23ABD8C2" w:rsidR="002147D8" w:rsidRPr="0097670D" w:rsidRDefault="00890C24">
      <w:pPr>
        <w:pStyle w:val="Corpotesto"/>
        <w:spacing w:before="0" w:line="480" w:lineRule="auto"/>
        <w:rPr>
          <w:i/>
          <w:sz w:val="22"/>
          <w:szCs w:val="22"/>
        </w:rPr>
      </w:pPr>
      <w:r w:rsidRPr="0097670D">
        <w:rPr>
          <w:i/>
          <w:sz w:val="22"/>
          <w:szCs w:val="22"/>
        </w:rPr>
        <w:t>“My participation is not limited to following the medical indications, such as the diet or taking medicines, but also involves being responsible by avoiding a cold. Otherwise, I could not take the usual pills. In this way, I try to anticipate some issues with my behaviours.”</w:t>
      </w:r>
    </w:p>
    <w:p w14:paraId="6DA34123" w14:textId="77777777" w:rsidR="002147D8" w:rsidRPr="0097670D" w:rsidRDefault="00890C24">
      <w:pPr>
        <w:pStyle w:val="Corpotesto"/>
        <w:spacing w:before="0" w:line="480" w:lineRule="auto"/>
        <w:ind w:firstLine="284"/>
        <w:jc w:val="right"/>
        <w:rPr>
          <w:i/>
          <w:sz w:val="22"/>
          <w:szCs w:val="22"/>
        </w:rPr>
      </w:pPr>
      <w:r w:rsidRPr="0097670D">
        <w:rPr>
          <w:i/>
          <w:sz w:val="22"/>
          <w:szCs w:val="22"/>
        </w:rPr>
        <w:t>Patient #14</w:t>
      </w:r>
    </w:p>
    <w:p w14:paraId="2B06D001" w14:textId="36D2365D" w:rsidR="002147D8" w:rsidRPr="0097670D" w:rsidRDefault="00890C24">
      <w:pPr>
        <w:pStyle w:val="Corpotesto"/>
        <w:spacing w:before="0" w:line="480" w:lineRule="auto"/>
        <w:ind w:firstLine="284"/>
        <w:rPr>
          <w:sz w:val="22"/>
          <w:szCs w:val="22"/>
        </w:rPr>
      </w:pPr>
      <w:r w:rsidRPr="0097670D">
        <w:rPr>
          <w:sz w:val="22"/>
          <w:szCs w:val="22"/>
        </w:rPr>
        <w:t>Two other important aspects of a successful collaborative interaction are the attention to the patients’ needs and the flexibility of the medical indications. These are very important in chronic diseases that are, by definition, long-lasting; in these situations, any therapeutic path or diet choice has a great impact on the patient's daily life. Quite often, overcoming the resistance to change habits and lifestyle is the most difficult step, but it is necessary in order to achieve a better health condition. Empathy provides a great boon to physicians in understanding their patients’ perspectives in order to find the best way to engage them.</w:t>
      </w:r>
    </w:p>
    <w:p w14:paraId="3F668C9B" w14:textId="1EE1412C" w:rsidR="002147D8" w:rsidRPr="0097670D" w:rsidRDefault="00890C24">
      <w:pPr>
        <w:pStyle w:val="Corpotesto"/>
        <w:spacing w:before="0" w:line="480" w:lineRule="auto"/>
        <w:rPr>
          <w:i/>
          <w:sz w:val="22"/>
          <w:szCs w:val="22"/>
        </w:rPr>
      </w:pPr>
      <w:r w:rsidRPr="0097670D">
        <w:rPr>
          <w:i/>
          <w:sz w:val="22"/>
          <w:szCs w:val="22"/>
        </w:rPr>
        <w:t>“Empathy is important, but it depends on the situation and the patient. However, it is a professional empathy, not like a friendship. Even though emotions are part of us as human beings, we should try to not be influenced by them or we could make mistakes.”</w:t>
      </w:r>
    </w:p>
    <w:p w14:paraId="5C2CF2C5" w14:textId="77777777" w:rsidR="002147D8" w:rsidRPr="0097670D" w:rsidRDefault="00890C24">
      <w:pPr>
        <w:pStyle w:val="Corpotesto"/>
        <w:spacing w:before="0" w:line="480" w:lineRule="auto"/>
        <w:ind w:firstLine="284"/>
        <w:jc w:val="right"/>
        <w:rPr>
          <w:i/>
          <w:sz w:val="22"/>
          <w:szCs w:val="22"/>
        </w:rPr>
      </w:pPr>
      <w:r w:rsidRPr="0097670D">
        <w:rPr>
          <w:i/>
          <w:sz w:val="22"/>
          <w:szCs w:val="22"/>
        </w:rPr>
        <w:t>Radiologist</w:t>
      </w:r>
    </w:p>
    <w:p w14:paraId="436A4EF3" w14:textId="5DBC1341" w:rsidR="002147D8" w:rsidRPr="0097670D" w:rsidRDefault="00890C24">
      <w:pPr>
        <w:pStyle w:val="Corpotesto"/>
        <w:spacing w:before="0" w:line="480" w:lineRule="auto"/>
        <w:rPr>
          <w:i/>
          <w:sz w:val="22"/>
          <w:szCs w:val="22"/>
        </w:rPr>
      </w:pPr>
      <w:r w:rsidRPr="0097670D">
        <w:rPr>
          <w:i/>
          <w:sz w:val="22"/>
          <w:szCs w:val="22"/>
        </w:rPr>
        <w:t>“I think that a physician should be empathic in order to take care of the patient as a human being and not only pay attention to the pathology.”</w:t>
      </w:r>
    </w:p>
    <w:p w14:paraId="6063A2E2" w14:textId="77777777" w:rsidR="002147D8" w:rsidRPr="0097670D" w:rsidRDefault="00890C24">
      <w:pPr>
        <w:pStyle w:val="Corpotesto"/>
        <w:spacing w:before="0" w:line="480" w:lineRule="auto"/>
        <w:jc w:val="right"/>
        <w:rPr>
          <w:i/>
          <w:sz w:val="22"/>
          <w:szCs w:val="22"/>
        </w:rPr>
      </w:pPr>
      <w:r w:rsidRPr="0097670D">
        <w:rPr>
          <w:i/>
          <w:sz w:val="22"/>
          <w:szCs w:val="22"/>
        </w:rPr>
        <w:t>Patient #5</w:t>
      </w:r>
    </w:p>
    <w:p w14:paraId="696C9370" w14:textId="4A05F9A2" w:rsidR="002147D8" w:rsidRPr="0097670D" w:rsidRDefault="00890C24">
      <w:pPr>
        <w:pStyle w:val="Corpotesto"/>
        <w:spacing w:before="0" w:line="480" w:lineRule="auto"/>
        <w:ind w:firstLine="284"/>
        <w:rPr>
          <w:sz w:val="22"/>
          <w:szCs w:val="22"/>
        </w:rPr>
      </w:pPr>
      <w:r w:rsidRPr="0097670D">
        <w:rPr>
          <w:sz w:val="22"/>
          <w:szCs w:val="22"/>
        </w:rPr>
        <w:t xml:space="preserve">Disease awareness and medical accountability aspects were cited by all interviewees, both physicians and patients. These two characteristics are the fundamental requirements for the patient in order to comply with the therapy and be pro-active with regard to value co-creation. That is </w:t>
      </w:r>
      <w:r w:rsidRPr="0097670D">
        <w:rPr>
          <w:sz w:val="22"/>
          <w:szCs w:val="22"/>
        </w:rPr>
        <w:lastRenderedPageBreak/>
        <w:t>why the physician plays an important role as a motivator, and they should push the patient toward practicing more value awareness in their own health.</w:t>
      </w:r>
    </w:p>
    <w:p w14:paraId="056119A4" w14:textId="4BBDD862" w:rsidR="002147D8" w:rsidRPr="0097670D" w:rsidRDefault="00890C24">
      <w:pPr>
        <w:pStyle w:val="Corpotesto"/>
        <w:spacing w:before="0" w:line="480" w:lineRule="auto"/>
        <w:rPr>
          <w:i/>
          <w:sz w:val="22"/>
          <w:szCs w:val="22"/>
        </w:rPr>
      </w:pPr>
      <w:r w:rsidRPr="0097670D">
        <w:rPr>
          <w:i/>
          <w:sz w:val="22"/>
          <w:szCs w:val="22"/>
        </w:rPr>
        <w:t>“I try to explain to my patients that, for a disease that is linked to lifestyle, the only way to get better is by changing their own habits. I try to provide soft targets and personalised indications in order to motivate them and make the objectives reachable.”</w:t>
      </w:r>
    </w:p>
    <w:p w14:paraId="792155E8" w14:textId="4D22FE4B" w:rsidR="002147D8" w:rsidRPr="0097670D" w:rsidRDefault="00890C24">
      <w:pPr>
        <w:pStyle w:val="Corpotesto"/>
        <w:spacing w:before="0" w:line="480" w:lineRule="auto"/>
        <w:jc w:val="right"/>
        <w:rPr>
          <w:i/>
          <w:sz w:val="22"/>
          <w:szCs w:val="22"/>
        </w:rPr>
      </w:pPr>
      <w:r w:rsidRPr="0097670D">
        <w:rPr>
          <w:i/>
          <w:sz w:val="22"/>
          <w:szCs w:val="22"/>
        </w:rPr>
        <w:t>Internist</w:t>
      </w:r>
    </w:p>
    <w:p w14:paraId="0EE9A15E" w14:textId="46E00C4A" w:rsidR="002147D8" w:rsidRPr="0097670D" w:rsidRDefault="00890C24">
      <w:pPr>
        <w:pStyle w:val="Corpotesto"/>
        <w:spacing w:before="0" w:line="480" w:lineRule="auto"/>
        <w:ind w:firstLine="284"/>
        <w:rPr>
          <w:sz w:val="22"/>
          <w:szCs w:val="22"/>
        </w:rPr>
      </w:pPr>
      <w:r w:rsidRPr="0097670D">
        <w:rPr>
          <w:sz w:val="22"/>
          <w:szCs w:val="22"/>
        </w:rPr>
        <w:t>The primary purpose of a collaborative patient–physician relationship is to improve the patient’s quality of life since, quite often, chronic conditions cannot be healed but only kept under control. It is important to have awareness of one’s own illness and learn how to live with it.</w:t>
      </w:r>
    </w:p>
    <w:p w14:paraId="33E03ED5" w14:textId="1C444994" w:rsidR="002147D8" w:rsidRPr="0097670D" w:rsidRDefault="00890C24">
      <w:pPr>
        <w:pStyle w:val="Corpotesto"/>
        <w:spacing w:before="0" w:line="480" w:lineRule="auto"/>
        <w:rPr>
          <w:i/>
          <w:sz w:val="22"/>
          <w:szCs w:val="22"/>
        </w:rPr>
      </w:pPr>
      <w:r w:rsidRPr="0097670D">
        <w:rPr>
          <w:i/>
          <w:sz w:val="22"/>
          <w:szCs w:val="22"/>
        </w:rPr>
        <w:t>“My disease cannot be healed, but now I have a better quality of life. I feel better, and I try to avoid stressful situations, even though my job is hard, in addition to following medical indications.”</w:t>
      </w:r>
    </w:p>
    <w:p w14:paraId="3CD7473F" w14:textId="77777777" w:rsidR="002147D8" w:rsidRPr="0097670D" w:rsidRDefault="00890C24">
      <w:pPr>
        <w:pStyle w:val="Corpotesto"/>
        <w:spacing w:before="0" w:line="480" w:lineRule="auto"/>
        <w:ind w:firstLine="284"/>
        <w:jc w:val="right"/>
        <w:rPr>
          <w:i/>
          <w:sz w:val="22"/>
          <w:szCs w:val="22"/>
        </w:rPr>
      </w:pPr>
      <w:r w:rsidRPr="0097670D">
        <w:rPr>
          <w:i/>
          <w:sz w:val="22"/>
          <w:szCs w:val="22"/>
        </w:rPr>
        <w:t>Patient #6</w:t>
      </w:r>
    </w:p>
    <w:p w14:paraId="29D51BDF" w14:textId="26FAC319" w:rsidR="002147D8" w:rsidRPr="0097670D" w:rsidRDefault="00890C24">
      <w:pPr>
        <w:pStyle w:val="Corpotesto"/>
        <w:spacing w:before="0" w:line="480" w:lineRule="auto"/>
        <w:ind w:firstLine="284"/>
        <w:rPr>
          <w:i/>
          <w:sz w:val="22"/>
          <w:szCs w:val="22"/>
        </w:rPr>
      </w:pPr>
      <w:r w:rsidRPr="0097670D">
        <w:rPr>
          <w:sz w:val="22"/>
          <w:szCs w:val="22"/>
        </w:rPr>
        <w:t>Thus, the role of the physician goes beyond prescribing drugs or therapies. They represent the main support for the patient and take care of them in a holistic manner to achieve a better quality of life.</w:t>
      </w:r>
    </w:p>
    <w:p w14:paraId="6F9B07A3" w14:textId="77777777" w:rsidR="002147D8" w:rsidRPr="0097670D" w:rsidRDefault="002147D8">
      <w:pPr>
        <w:pStyle w:val="Corpotesto"/>
        <w:tabs>
          <w:tab w:val="left" w:pos="990"/>
        </w:tabs>
        <w:spacing w:before="0" w:line="480" w:lineRule="auto"/>
        <w:rPr>
          <w:i/>
          <w:sz w:val="22"/>
          <w:szCs w:val="22"/>
        </w:rPr>
      </w:pPr>
    </w:p>
    <w:p w14:paraId="2980D8F3" w14:textId="77777777" w:rsidR="002147D8" w:rsidRPr="0097670D" w:rsidRDefault="00890C24">
      <w:pPr>
        <w:pStyle w:val="Corpotesto"/>
        <w:spacing w:before="0" w:line="480" w:lineRule="auto"/>
        <w:rPr>
          <w:i/>
          <w:sz w:val="22"/>
          <w:szCs w:val="22"/>
        </w:rPr>
      </w:pPr>
      <w:r w:rsidRPr="0097670D">
        <w:rPr>
          <w:i/>
          <w:sz w:val="22"/>
          <w:szCs w:val="22"/>
        </w:rPr>
        <w:t>Informative</w:t>
      </w:r>
    </w:p>
    <w:p w14:paraId="4F0FA8EF" w14:textId="38BBB17F" w:rsidR="002147D8" w:rsidRPr="0097670D" w:rsidRDefault="00890C24">
      <w:pPr>
        <w:pStyle w:val="Corpotesto"/>
        <w:spacing w:before="0" w:line="480" w:lineRule="auto"/>
        <w:rPr>
          <w:sz w:val="22"/>
          <w:szCs w:val="22"/>
        </w:rPr>
      </w:pPr>
      <w:r w:rsidRPr="0097670D">
        <w:rPr>
          <w:sz w:val="22"/>
          <w:szCs w:val="22"/>
        </w:rPr>
        <w:t>In an informative interaction, the physician provides the patient with all relevant information, letting the latter select the medical intervention that best realizes their values. Thus, the patient holds control in the decision-making process, in contrast to a paternalistic interaction.</w:t>
      </w:r>
    </w:p>
    <w:p w14:paraId="26D0BDAE" w14:textId="5BC52F2C" w:rsidR="002147D8" w:rsidRPr="0097670D" w:rsidRDefault="00890C24">
      <w:pPr>
        <w:pStyle w:val="Corpotesto"/>
        <w:spacing w:before="0" w:line="480" w:lineRule="auto"/>
        <w:ind w:firstLine="284"/>
        <w:rPr>
          <w:sz w:val="22"/>
          <w:szCs w:val="22"/>
        </w:rPr>
      </w:pPr>
      <w:r w:rsidRPr="0097670D">
        <w:rPr>
          <w:sz w:val="22"/>
          <w:szCs w:val="22"/>
        </w:rPr>
        <w:t xml:space="preserve">The relevant information includes the patient’s disease status, the possible diagnostic and therapeutic interventions, the nature and the probability of risks and benefits associated with the options provided, and the answers to the patient’s uncertainties </w:t>
      </w:r>
      <w:r w:rsidRPr="0097670D">
        <w:rPr>
          <w:sz w:val="22"/>
          <w:szCs w:val="22"/>
        </w:rPr>
        <w:fldChar w:fldCharType="begin" w:fldLock="1"/>
      </w:r>
      <w:r w:rsidRPr="0097670D">
        <w:rPr>
          <w:sz w:val="22"/>
          <w:szCs w:val="22"/>
        </w:rPr>
        <w:instrText>ADDIN CSL_CITATION {"citationItems":[{"id":"ITEM-1","itemData":{"DOI":"10.1001/jama.1992.03480160079038","ISSN":"15383598","PMID":"1556799","author":[{"dropping-particle":"","family":"Emanuel","given":"Ezekiel J.","non-dropping-particle":"","parse-names":false,"suffix":""},{"dropping-particle":"","family":"Emanuel","given":"Linda L.","non-dropping-particle":"","parse-names":false,"suffix":""}],"container-title":"JAMA: The Journal of the American Medical Association","id":"ITEM-1","issue":"16","issued":{"date-parts":[["1992"]]},"page":"2221-2226","title":"Four Models of the Physician-Patient Relationship","type":"article-journal","volume":"267"},"uris":["http://www.mendeley.com/documents/?uuid=224dcae2-a5ac-4c60-9031-b187a1d172b7"]}],"mendeley":{"formattedCitation":"(Emanuel and Emanuel, 1992)","plainTextFormattedCitation":"(Emanuel and Emanuel, 1992)","previouslyFormattedCitation":"(Emanuel and Emanuel, 1992)"},"properties":{"noteIndex":0},"schema":"https://github.com/citation-style-language/schema/raw/master/csl-citation.json"}</w:instrText>
      </w:r>
      <w:r w:rsidRPr="0097670D">
        <w:rPr>
          <w:sz w:val="22"/>
          <w:szCs w:val="22"/>
        </w:rPr>
        <w:fldChar w:fldCharType="separate"/>
      </w:r>
      <w:r w:rsidRPr="0097670D">
        <w:rPr>
          <w:noProof/>
          <w:sz w:val="22"/>
          <w:szCs w:val="22"/>
        </w:rPr>
        <w:t>(Emanuel and Emanuel, 1992)</w:t>
      </w:r>
      <w:r w:rsidRPr="0097670D">
        <w:rPr>
          <w:sz w:val="22"/>
          <w:szCs w:val="22"/>
        </w:rPr>
        <w:fldChar w:fldCharType="end"/>
      </w:r>
      <w:r w:rsidRPr="0097670D">
        <w:rPr>
          <w:sz w:val="22"/>
          <w:szCs w:val="22"/>
        </w:rPr>
        <w:t>. Physicians have the important obligation to provide truthful information; for this reason, consulting colleagues is a common practice.</w:t>
      </w:r>
    </w:p>
    <w:p w14:paraId="3109826C" w14:textId="77777777" w:rsidR="002147D8" w:rsidRPr="0097670D" w:rsidRDefault="00890C24" w:rsidP="000E1687">
      <w:pPr>
        <w:pStyle w:val="Corpotesto"/>
        <w:keepNext/>
        <w:spacing w:before="0" w:line="480" w:lineRule="auto"/>
        <w:rPr>
          <w:i/>
          <w:sz w:val="22"/>
          <w:szCs w:val="22"/>
        </w:rPr>
      </w:pPr>
      <w:r w:rsidRPr="0097670D">
        <w:rPr>
          <w:i/>
          <w:sz w:val="22"/>
          <w:szCs w:val="22"/>
        </w:rPr>
        <w:lastRenderedPageBreak/>
        <w:t>“In case of any doubts on a diagnostic test, in a hospital, it is easy to contact a colleague for help in order to clarify the situation.”</w:t>
      </w:r>
    </w:p>
    <w:p w14:paraId="54DD2447" w14:textId="77777777" w:rsidR="002147D8" w:rsidRPr="0097670D" w:rsidRDefault="00890C24" w:rsidP="000E1687">
      <w:pPr>
        <w:pStyle w:val="Corpotesto"/>
        <w:keepNext/>
        <w:spacing w:before="0" w:line="480" w:lineRule="auto"/>
        <w:jc w:val="right"/>
        <w:rPr>
          <w:i/>
          <w:sz w:val="22"/>
          <w:szCs w:val="22"/>
        </w:rPr>
      </w:pPr>
      <w:r w:rsidRPr="0097670D">
        <w:rPr>
          <w:i/>
          <w:sz w:val="22"/>
          <w:szCs w:val="22"/>
        </w:rPr>
        <w:t xml:space="preserve">Radiologist </w:t>
      </w:r>
    </w:p>
    <w:p w14:paraId="42C596BA" w14:textId="0DC8316E" w:rsidR="002147D8" w:rsidRPr="0097670D" w:rsidRDefault="00890C24">
      <w:pPr>
        <w:pStyle w:val="Corpotesto"/>
        <w:spacing w:before="0" w:line="480" w:lineRule="auto"/>
        <w:ind w:firstLine="284"/>
        <w:rPr>
          <w:sz w:val="22"/>
          <w:szCs w:val="22"/>
        </w:rPr>
      </w:pPr>
      <w:r w:rsidRPr="0097670D">
        <w:rPr>
          <w:sz w:val="22"/>
          <w:szCs w:val="22"/>
        </w:rPr>
        <w:t xml:space="preserve">In this relationship archetype, core activities that co-create value are represented by the seeking, selection, and sharing of information by both parties, either for the patient’s need for awareness or for the physician’s desire to provide a comprehensive clinical view </w:t>
      </w:r>
      <w:r w:rsidRPr="0097670D">
        <w:rPr>
          <w:sz w:val="22"/>
          <w:szCs w:val="22"/>
        </w:rPr>
        <w:fldChar w:fldCharType="begin" w:fldLock="1"/>
      </w:r>
      <w:r w:rsidRPr="0097670D">
        <w:rPr>
          <w:sz w:val="22"/>
          <w:szCs w:val="22"/>
        </w:rPr>
        <w:instrText>ADDIN CSL_CITATION {"citationItems":[{"id":"ITEM-1","itemData":{"DOI":"10.1016/j.ausmj.2014.08.008","ISSN":"14413582","abstract":"With the aim of addressing a gap in service research on co-creation in health care, this study discusses the problem of information asymmetry in the service provider-user relationship by adopting the Viable Systems Approach. We develop a three-step interpretative framework to support the understanding of the health service relationship by going beyond the traditional information asymmetry view towards a framework capable of examining the human side of service interaction. Using the case of the Italian Health System, we discuss whether and how the problem of information asymmetry affects the health care provider-user co-creation relationship. Our findings open up a wider view of information asymmetry, suggesting a shift in focus from information sharing to interpretation schemes sharing, all the way up to values sharing, offering new insights for co-creation in health care.","author":[{"dropping-particle":"","family":"Barile","given":"Sergio","non-dropping-particle":"","parse-names":false,"suffix":""},{"dropping-particle":"","family":"Saviano","given":"Marialuisa","non-dropping-particle":"","parse-names":false,"suffix":""},{"dropping-particle":"","family":"Polese","given":"Francesco","non-dropping-particle":"","parse-names":false,"suffix":""}],"container-title":"Australasian Marketing Journal","id":"ITEM-1","issue":"3","issued":{"date-parts":[["2014","8","1"]]},"page":"205-217","publisher":"Elsevier Australia","title":"Information asymmetry and co-creation in health care services","type":"article-journal","volume":"22"},"uris":["http://www.mendeley.com/documents/?uuid=bd6cd1be-bfca-3825-8f9b-f97aa67cb547"]}],"mendeley":{"formattedCitation":"(Barile et al., 2014)","plainTextFormattedCitation":"(Barile et al., 2014)","previouslyFormattedCitation":"(Barile et al., 2014)"},"properties":{"noteIndex":0},"schema":"https://github.com/citation-style-language/schema/raw/master/csl-citation.json"}</w:instrText>
      </w:r>
      <w:r w:rsidRPr="0097670D">
        <w:rPr>
          <w:sz w:val="22"/>
          <w:szCs w:val="22"/>
        </w:rPr>
        <w:fldChar w:fldCharType="separate"/>
      </w:r>
      <w:r w:rsidRPr="0097670D">
        <w:rPr>
          <w:noProof/>
          <w:sz w:val="22"/>
          <w:szCs w:val="22"/>
        </w:rPr>
        <w:t xml:space="preserve">(Barile </w:t>
      </w:r>
      <w:r w:rsidRPr="0097670D">
        <w:rPr>
          <w:i/>
          <w:iCs/>
          <w:noProof/>
          <w:sz w:val="22"/>
          <w:szCs w:val="22"/>
        </w:rPr>
        <w:t>et al.</w:t>
      </w:r>
      <w:r w:rsidRPr="0097670D">
        <w:rPr>
          <w:noProof/>
          <w:sz w:val="22"/>
          <w:szCs w:val="22"/>
        </w:rPr>
        <w:t>, 2014)</w:t>
      </w:r>
      <w:r w:rsidRPr="0097670D">
        <w:rPr>
          <w:sz w:val="22"/>
          <w:szCs w:val="22"/>
        </w:rPr>
        <w:fldChar w:fldCharType="end"/>
      </w:r>
      <w:r w:rsidRPr="0097670D">
        <w:rPr>
          <w:sz w:val="22"/>
          <w:szCs w:val="22"/>
        </w:rPr>
        <w:t xml:space="preserve">. </w:t>
      </w:r>
      <w:bookmarkStart w:id="17" w:name="OLE_LINK3"/>
      <w:r w:rsidRPr="0097670D">
        <w:rPr>
          <w:sz w:val="22"/>
          <w:szCs w:val="22"/>
        </w:rPr>
        <w:t xml:space="preserve">Information technologies allow patients to collect a lot of information and educate themselves </w:t>
      </w:r>
      <w:bookmarkEnd w:id="17"/>
      <w:r w:rsidRPr="0097670D">
        <w:rPr>
          <w:sz w:val="22"/>
          <w:szCs w:val="22"/>
        </w:rPr>
        <w:t xml:space="preserve">through the internet, not only on the scientific and clinical aspects of their health conditions but also on the range of therapeutic options experienced by other people </w:t>
      </w:r>
      <w:r w:rsidRPr="0097670D">
        <w:rPr>
          <w:sz w:val="22"/>
          <w:szCs w:val="22"/>
        </w:rPr>
        <w:fldChar w:fldCharType="begin" w:fldLock="1"/>
      </w:r>
      <w:r w:rsidRPr="0097670D">
        <w:rPr>
          <w:sz w:val="22"/>
          <w:szCs w:val="22"/>
        </w:rPr>
        <w:instrText>ADDIN CSL_CITATION {"citationItems":[{"id":"ITEM-1","itemData":{"DOI":"10.12998/wjcc.v6.i11.447","ISSN":"2307-8960","abstract":"I WJCC|www.wjgnet.com July 16, 2017|Volume 5|Issue 7| MINIREVIEWS 258 New Zippi M, Hong W, Crispino P, Traversa G 264 Screening - old Pavlovic M, Berenji K, Bukurov M 270 Practical Nayak R ORIGINAL ARTICLE Retrospective Study 280 Feasibility Yamamiya A, Kitamura K, Ishii Y, Mitsui Y, Nomoto T, Yoshida H SYSTEMATIC REVIEWS 286 Diagnostic Kanzara T, Virk JS CASE REPORT 292 Post : Literature Pescatori L, Tropeano MP, Mancarella C, Prizio E, Santoro G, Domenicucci M 299 Rare Luongo M 303 Is ?","author":[{"dropping-particle":"","family":"Vento","given":"Sandro","non-dropping-particle":"","parse-names":false,"suffix":""},{"dropping-particle":"","family":"Cainelli","given":"Francesca","non-dropping-particle":"","parse-names":false,"suffix":""},{"dropping-particle":"","family":"Vallone","given":"Alfredo","non-dropping-particle":"","parse-names":false,"suffix":""}],"container-title":"World Journal of Clinical Cases","id":"ITEM-1","issue":"9","issued":{"date-parts":[["2018"]]},"page":"157-164","title":"Defensive medicine: It is time to finally slow down an epidemic","type":"article-journal","volume":"9"},"uris":["http://www.mendeley.com/documents/?uuid=6ddf2100-cc41-34aa-ace5-1fefbae79ea6"]}],"mendeley":{"formattedCitation":"(Vento et al., 2018)","plainTextFormattedCitation":"(Vento et al., 2018)","previouslyFormattedCitation":"(Vento et al., 2018)"},"properties":{"noteIndex":0},"schema":"https://github.com/citation-style-language/schema/raw/master/csl-citation.json"}</w:instrText>
      </w:r>
      <w:r w:rsidRPr="0097670D">
        <w:rPr>
          <w:sz w:val="22"/>
          <w:szCs w:val="22"/>
        </w:rPr>
        <w:fldChar w:fldCharType="separate"/>
      </w:r>
      <w:r w:rsidRPr="0097670D">
        <w:rPr>
          <w:noProof/>
          <w:sz w:val="22"/>
          <w:szCs w:val="22"/>
        </w:rPr>
        <w:t xml:space="preserve">(Vento </w:t>
      </w:r>
      <w:r w:rsidRPr="0097670D">
        <w:rPr>
          <w:i/>
          <w:iCs/>
          <w:noProof/>
          <w:sz w:val="22"/>
          <w:szCs w:val="22"/>
        </w:rPr>
        <w:t>et al.</w:t>
      </w:r>
      <w:r w:rsidRPr="0097670D">
        <w:rPr>
          <w:noProof/>
          <w:sz w:val="22"/>
          <w:szCs w:val="22"/>
        </w:rPr>
        <w:t>, 2018)</w:t>
      </w:r>
      <w:r w:rsidRPr="0097670D">
        <w:rPr>
          <w:sz w:val="22"/>
          <w:szCs w:val="22"/>
        </w:rPr>
        <w:fldChar w:fldCharType="end"/>
      </w:r>
      <w:r w:rsidRPr="0097670D">
        <w:rPr>
          <w:sz w:val="22"/>
          <w:szCs w:val="22"/>
        </w:rPr>
        <w:t>.</w:t>
      </w:r>
    </w:p>
    <w:p w14:paraId="31343CBB" w14:textId="6206CDE0" w:rsidR="002147D8" w:rsidRPr="0097670D" w:rsidRDefault="00890C24">
      <w:pPr>
        <w:pStyle w:val="Corpotesto"/>
        <w:spacing w:before="0" w:line="480" w:lineRule="auto"/>
        <w:rPr>
          <w:i/>
          <w:sz w:val="22"/>
          <w:szCs w:val="22"/>
        </w:rPr>
      </w:pPr>
      <w:r w:rsidRPr="0097670D">
        <w:rPr>
          <w:i/>
          <w:sz w:val="22"/>
          <w:szCs w:val="22"/>
        </w:rPr>
        <w:t xml:space="preserve">“I follow the indications that the physician provides me, but I also seek information on the internet. This is because I am scared, so I also look for news on scientific </w:t>
      </w:r>
      <w:proofErr w:type="gramStart"/>
      <w:r w:rsidRPr="0097670D">
        <w:rPr>
          <w:i/>
          <w:sz w:val="22"/>
          <w:szCs w:val="22"/>
        </w:rPr>
        <w:t>researches</w:t>
      </w:r>
      <w:proofErr w:type="gramEnd"/>
      <w:r w:rsidRPr="0097670D">
        <w:rPr>
          <w:i/>
          <w:sz w:val="22"/>
          <w:szCs w:val="22"/>
        </w:rPr>
        <w:t xml:space="preserve"> about my illness. Thus, I am always on alert.”</w:t>
      </w:r>
    </w:p>
    <w:p w14:paraId="3C0A9FA3" w14:textId="77777777" w:rsidR="002147D8" w:rsidRPr="0097670D" w:rsidRDefault="00890C24">
      <w:pPr>
        <w:pStyle w:val="Corpotesto"/>
        <w:spacing w:before="0" w:line="480" w:lineRule="auto"/>
        <w:ind w:firstLine="284"/>
        <w:jc w:val="right"/>
        <w:rPr>
          <w:i/>
          <w:sz w:val="22"/>
          <w:szCs w:val="22"/>
        </w:rPr>
      </w:pPr>
      <w:r w:rsidRPr="0097670D">
        <w:rPr>
          <w:i/>
          <w:sz w:val="22"/>
          <w:szCs w:val="22"/>
        </w:rPr>
        <w:t>Patient #9</w:t>
      </w:r>
    </w:p>
    <w:p w14:paraId="7E9AF18C" w14:textId="283E2E13" w:rsidR="002147D8" w:rsidRPr="0097670D" w:rsidRDefault="00890C24">
      <w:pPr>
        <w:pStyle w:val="Corpotesto"/>
        <w:spacing w:before="0" w:line="480" w:lineRule="auto"/>
        <w:ind w:firstLine="284"/>
        <w:rPr>
          <w:sz w:val="22"/>
          <w:szCs w:val="22"/>
        </w:rPr>
      </w:pPr>
      <w:bookmarkStart w:id="18" w:name="_Hlk61284322"/>
      <w:r w:rsidRPr="0097670D">
        <w:rPr>
          <w:sz w:val="22"/>
          <w:szCs w:val="22"/>
        </w:rPr>
        <w:t xml:space="preserve">Being highly informed is not always synonymous with having good or correct information. </w:t>
      </w:r>
      <w:bookmarkEnd w:id="18"/>
      <w:r w:rsidRPr="0097670D">
        <w:rPr>
          <w:sz w:val="22"/>
          <w:szCs w:val="22"/>
        </w:rPr>
        <w:t xml:space="preserve">It often happens that patients have a lot of prejudices based on the incorrect or misleading information they have found. These can pertain to not just diseases, alternative therapies, and diets but also feedback and opinions </w:t>
      </w:r>
      <w:r w:rsidR="00555176" w:rsidRPr="0097670D">
        <w:rPr>
          <w:sz w:val="22"/>
          <w:szCs w:val="22"/>
        </w:rPr>
        <w:t>on</w:t>
      </w:r>
      <w:r w:rsidRPr="0097670D">
        <w:rPr>
          <w:sz w:val="22"/>
          <w:szCs w:val="22"/>
        </w:rPr>
        <w:t xml:space="preserve"> physicians and healthcare providers. These contribute to altering their relationship with the medical professionals, thus leading to more defensive medicine practice by the latter. The patient’s active role during the interaction with the physician and the physician’s effort to satisfy the patient both lead to defensive behaviours because the doctor may likely prescribe unnecessary diagnostic tests to address the pressure from the patient.</w:t>
      </w:r>
    </w:p>
    <w:p w14:paraId="1931970D" w14:textId="5099A089" w:rsidR="002147D8" w:rsidRPr="0097670D" w:rsidRDefault="00890C24">
      <w:pPr>
        <w:pStyle w:val="Corpotesto"/>
        <w:spacing w:before="0" w:line="480" w:lineRule="auto"/>
        <w:rPr>
          <w:i/>
          <w:sz w:val="22"/>
          <w:szCs w:val="22"/>
        </w:rPr>
      </w:pPr>
      <w:r w:rsidRPr="0097670D">
        <w:rPr>
          <w:i/>
          <w:sz w:val="22"/>
          <w:szCs w:val="22"/>
        </w:rPr>
        <w:t>“People have strange behaviours. It happened that a patient came for a diagnostic test, but he did not say that the week before he did the same test in another hospital. So, he repeated the test just to know what my opinion was. Thus, how it is possible to trust in patients?”</w:t>
      </w:r>
    </w:p>
    <w:p w14:paraId="1E7C85B2" w14:textId="77777777" w:rsidR="002147D8" w:rsidRPr="0097670D" w:rsidRDefault="00890C24">
      <w:pPr>
        <w:pStyle w:val="Corpotesto"/>
        <w:spacing w:before="0" w:line="480" w:lineRule="auto"/>
        <w:jc w:val="right"/>
        <w:rPr>
          <w:i/>
          <w:sz w:val="22"/>
          <w:szCs w:val="22"/>
        </w:rPr>
      </w:pPr>
      <w:r w:rsidRPr="0097670D">
        <w:rPr>
          <w:i/>
          <w:sz w:val="22"/>
          <w:szCs w:val="22"/>
        </w:rPr>
        <w:t>Radiologist</w:t>
      </w:r>
    </w:p>
    <w:p w14:paraId="2A21CB71" w14:textId="20C43C55" w:rsidR="002147D8" w:rsidRPr="0097670D" w:rsidRDefault="00890C24">
      <w:pPr>
        <w:pStyle w:val="Corpotesto"/>
        <w:spacing w:before="0" w:line="480" w:lineRule="auto"/>
        <w:ind w:firstLine="284"/>
        <w:rPr>
          <w:sz w:val="22"/>
          <w:szCs w:val="22"/>
        </w:rPr>
      </w:pPr>
      <w:r w:rsidRPr="0097670D">
        <w:rPr>
          <w:sz w:val="22"/>
          <w:szCs w:val="22"/>
        </w:rPr>
        <w:lastRenderedPageBreak/>
        <w:t>For the reasons above, informative relationships are common when a patient engages a medical specialist, often following the advice of their family doctor for a further diagnostic investigation or desiring another medical opinion about a specific medical situation.</w:t>
      </w:r>
    </w:p>
    <w:p w14:paraId="234B4CB1" w14:textId="77777777" w:rsidR="00DD49F6" w:rsidRPr="0097670D" w:rsidRDefault="00DD49F6">
      <w:pPr>
        <w:pStyle w:val="Corpotesto"/>
        <w:spacing w:before="0" w:line="480" w:lineRule="auto"/>
        <w:ind w:firstLine="284"/>
        <w:rPr>
          <w:sz w:val="22"/>
          <w:szCs w:val="22"/>
        </w:rPr>
      </w:pPr>
    </w:p>
    <w:p w14:paraId="4122B39B" w14:textId="77777777" w:rsidR="002147D8" w:rsidRPr="0097670D" w:rsidRDefault="00890C24">
      <w:pPr>
        <w:pStyle w:val="Corpotesto"/>
        <w:spacing w:before="0" w:line="480" w:lineRule="auto"/>
        <w:rPr>
          <w:i/>
          <w:sz w:val="22"/>
          <w:szCs w:val="22"/>
        </w:rPr>
      </w:pPr>
      <w:r w:rsidRPr="0097670D">
        <w:rPr>
          <w:i/>
          <w:sz w:val="22"/>
          <w:szCs w:val="22"/>
        </w:rPr>
        <w:t>Contractual</w:t>
      </w:r>
    </w:p>
    <w:p w14:paraId="6B511F7E" w14:textId="20C84949" w:rsidR="002147D8" w:rsidRPr="0097670D" w:rsidRDefault="00890C24">
      <w:pPr>
        <w:pStyle w:val="Corpotesto"/>
        <w:spacing w:before="0" w:line="480" w:lineRule="auto"/>
        <w:rPr>
          <w:sz w:val="22"/>
          <w:szCs w:val="22"/>
        </w:rPr>
      </w:pPr>
      <w:r w:rsidRPr="0097670D">
        <w:rPr>
          <w:sz w:val="22"/>
          <w:szCs w:val="22"/>
        </w:rPr>
        <w:t xml:space="preserve">A contractual patient–physician interaction refers to the cases in which the physician focuses more on the rules and clinical guidelines rather than on the specificities of the clinical case and the active involvement of the patient while designing the therapeutic path. This is more seen as a provider–customer relationship in a functionalist perspective </w:t>
      </w:r>
      <w:r w:rsidRPr="0097670D">
        <w:rPr>
          <w:sz w:val="22"/>
          <w:szCs w:val="22"/>
        </w:rPr>
        <w:fldChar w:fldCharType="begin" w:fldLock="1"/>
      </w:r>
      <w:r w:rsidRPr="0097670D">
        <w:rPr>
          <w:sz w:val="22"/>
          <w:szCs w:val="22"/>
        </w:rPr>
        <w:instrText>ADDIN CSL_CITATION {"citationItems":[{"id":"ITEM-1","itemData":{"DOI":"10.1016/j.socscimed.2013.07.026","ISSN":"02779536","abstract":"Over the past few decades, the concept of \"patient-centeredness\" has been intensively studied in health communication research on patient-physician interaction. Despite its popularity, this concept has often been criticized for lacking a unified definition and operationalized measurement. This article reviews how health communication research on patient-physician interaction has conceptualized and operationalized patient-centered communication based on four major theoretical perspectives in sociology (i.e., functionalism, conflict theory, utilitarianism, and social constructionism), and discusses the agenda for future research in this field. Each theory addresses different aspects of the patient-physician relationship and communication from different theoretical viewpoints. Patient-centeredness is a multifaceted construct with no single theory that can sufficiently define the whole concept. Different theoretical perspectives of patient-centered communication can be selectively adopted according to the context and nature of problems in the patient-physician relationship that a particular study aims to explore. The present study may provide a useful framework: it offers an overview of the differing models of patient-centered communication and the expected roles and goals in each model; it does so toward identifying a communication model that fits the patient and the context and toward theoretically reconstructing existing measures of patient-centered communication. Furthermore, although patient-centered communication has been defined mainly from the viewpoint of physician's behaviors aimed at achieving patient-centered care, patient competence is also required for patient-centered communication. This needs to be examined in current medical practice. © 2013 Elsevier Ltd.","author":[{"dropping-particle":"","family":"Ishikawa","given":"Hirono","non-dropping-particle":"","parse-names":false,"suffix":""},{"dropping-particle":"","family":"Hashimoto","given":"Hideki","non-dropping-particle":"","parse-names":false,"suffix":""},{"dropping-particle":"","family":"Kiuchi","given":"Takahiro","non-dropping-particle":"","parse-names":false,"suffix":""}],"container-title":"Social Science and Medicine","id":"ITEM-1","issued":{"date-parts":[["2013"]]},"page":"147-153","publisher":"Elsevier Ltd","title":"The evolving concept of \"patient-centeredness\" in patient-physician communication research","type":"article-journal","volume":"96"},"uris":["http://www.mendeley.com/documents/?uuid=82db362a-5e7d-4d09-87ce-358352222322"]}],"mendeley":{"formattedCitation":"(Ishikawa et al., 2013)","plainTextFormattedCitation":"(Ishikawa et al., 2013)","previouslyFormattedCitation":"(Ishikawa et al., 2013)"},"properties":{"noteIndex":0},"schema":"https://github.com/citation-style-language/schema/raw/master/csl-citation.json"}</w:instrText>
      </w:r>
      <w:r w:rsidRPr="0097670D">
        <w:rPr>
          <w:sz w:val="22"/>
          <w:szCs w:val="22"/>
        </w:rPr>
        <w:fldChar w:fldCharType="separate"/>
      </w:r>
      <w:r w:rsidRPr="0097670D">
        <w:rPr>
          <w:noProof/>
          <w:sz w:val="22"/>
          <w:szCs w:val="22"/>
        </w:rPr>
        <w:t xml:space="preserve">(Ishikawa </w:t>
      </w:r>
      <w:r w:rsidRPr="0097670D">
        <w:rPr>
          <w:i/>
          <w:iCs/>
          <w:noProof/>
          <w:sz w:val="22"/>
          <w:szCs w:val="22"/>
        </w:rPr>
        <w:t>et al.</w:t>
      </w:r>
      <w:r w:rsidRPr="0097670D">
        <w:rPr>
          <w:noProof/>
          <w:sz w:val="22"/>
          <w:szCs w:val="22"/>
        </w:rPr>
        <w:t>, 2013)</w:t>
      </w:r>
      <w:r w:rsidRPr="0097670D">
        <w:rPr>
          <w:sz w:val="22"/>
          <w:szCs w:val="22"/>
        </w:rPr>
        <w:fldChar w:fldCharType="end"/>
      </w:r>
      <w:r w:rsidRPr="0097670D">
        <w:rPr>
          <w:sz w:val="22"/>
          <w:szCs w:val="22"/>
        </w:rPr>
        <w:t>. Thus, it is quite far from the collaborative archetype.</w:t>
      </w:r>
    </w:p>
    <w:p w14:paraId="22320AFA" w14:textId="16A86920" w:rsidR="002147D8" w:rsidRPr="0097670D" w:rsidRDefault="00890C24">
      <w:pPr>
        <w:pStyle w:val="Corpotesto"/>
        <w:spacing w:before="0" w:line="480" w:lineRule="auto"/>
        <w:ind w:firstLine="284"/>
        <w:rPr>
          <w:sz w:val="22"/>
          <w:szCs w:val="22"/>
        </w:rPr>
      </w:pPr>
      <w:r w:rsidRPr="0097670D">
        <w:rPr>
          <w:sz w:val="22"/>
          <w:szCs w:val="22"/>
        </w:rPr>
        <w:t xml:space="preserve">It is recognised in the literature that defensive medicine practices are directly proportional to the specific risk of failure related to the applicable treatment or therapy </w:t>
      </w:r>
      <w:r w:rsidRPr="0097670D">
        <w:rPr>
          <w:sz w:val="22"/>
          <w:szCs w:val="22"/>
        </w:rPr>
        <w:fldChar w:fldCharType="begin" w:fldLock="1"/>
      </w:r>
      <w:r w:rsidRPr="0097670D">
        <w:rPr>
          <w:sz w:val="22"/>
          <w:szCs w:val="22"/>
        </w:rPr>
        <w:instrText>ADDIN CSL_CITATION {"citationItems":[{"id":"ITEM-1","itemData":{"DOI":"10.18662/lumproc.rsacvp2017.82","author":[{"dropping-particle":"","family":"Tinica","given":"G.","non-dropping-particle":"","parse-names":false,"suffix":""},{"dropping-particle":"","family":"Tomaziu-Todosia","given":"M.","non-dropping-particle":"","parse-names":false,"suffix":""},{"dropping-particle":"","family":"Tomaziu Todosia, G.-C. Christol","given":"R.O.","non-dropping-particle":"","parse-names":false,"suffix":""},{"dropping-particle":"","family":"Bulgariu-Iliescu","given":"D.","non-dropping-particle":"","parse-names":false,"suffix":""},{"dropping-particle":"","family":"Furnica","given":"C.","non-dropping-particle":"","parse-names":false,"suffix":""}],"container-title":"Rethinking Social Action. Core Values in Practice","id":"ITEM-1","issued":{"date-parts":[["2017","12","14"]]},"page":"898-910","title":"Defensive Medicine: Myths and Realities","type":"paper-conference","volume":"1"},"uris":["http://www.mendeley.com/documents/?uuid=0e14e71d-efc8-3a0c-b7ee-0de76a55459a"]}],"mendeley":{"formattedCitation":"(Tinica et al., 2017)","plainTextFormattedCitation":"(Tinica et al., 2017)","previouslyFormattedCitation":"(Tinica et al., 2017)"},"properties":{"noteIndex":0},"schema":"https://github.com/citation-style-language/schema/raw/master/csl-citation.json"}</w:instrText>
      </w:r>
      <w:r w:rsidRPr="0097670D">
        <w:rPr>
          <w:sz w:val="22"/>
          <w:szCs w:val="22"/>
        </w:rPr>
        <w:fldChar w:fldCharType="separate"/>
      </w:r>
      <w:r w:rsidRPr="0097670D">
        <w:rPr>
          <w:noProof/>
          <w:sz w:val="22"/>
          <w:szCs w:val="22"/>
        </w:rPr>
        <w:t xml:space="preserve">(Tinica </w:t>
      </w:r>
      <w:r w:rsidRPr="0097670D">
        <w:rPr>
          <w:i/>
          <w:iCs/>
          <w:noProof/>
          <w:sz w:val="22"/>
          <w:szCs w:val="22"/>
        </w:rPr>
        <w:t>et al.</w:t>
      </w:r>
      <w:r w:rsidRPr="0097670D">
        <w:rPr>
          <w:noProof/>
          <w:sz w:val="22"/>
          <w:szCs w:val="22"/>
        </w:rPr>
        <w:t>, 2017)</w:t>
      </w:r>
      <w:r w:rsidRPr="0097670D">
        <w:rPr>
          <w:sz w:val="22"/>
          <w:szCs w:val="22"/>
        </w:rPr>
        <w:fldChar w:fldCharType="end"/>
      </w:r>
      <w:r w:rsidRPr="0097670D">
        <w:rPr>
          <w:sz w:val="22"/>
          <w:szCs w:val="22"/>
        </w:rPr>
        <w:t xml:space="preserve">. In particular, the high-risk medical areas in which defensive behaviours are more common are emergency medicine, general surgery, neurosurgery, obstetrics/gynaecology, orthopaedic surgery, and radiology </w:t>
      </w:r>
      <w:r w:rsidRPr="0097670D">
        <w:rPr>
          <w:sz w:val="22"/>
          <w:szCs w:val="22"/>
        </w:rPr>
        <w:fldChar w:fldCharType="begin" w:fldLock="1"/>
      </w:r>
      <w:r w:rsidRPr="0097670D">
        <w:rPr>
          <w:sz w:val="22"/>
          <w:szCs w:val="22"/>
        </w:rPr>
        <w:instrText>ADDIN CSL_CITATION {"citationItems":[{"id":"ITEM-1","itemData":{"DOI":"10.1001/jama.293.21.2609","ISSN":"00987484","abstract":"Context How often physicians alter their clinical behavior because of the threat of malpractice liability, termed defensive medicine, and the consequences of those changes, are central questions in the ongoing medical malpractice reform debate. Objective To study the prevalence and characteristics of defensive medicine among physicians practicing in high-liability specialties during a period of substantial instability in the malpractice environment. Design, Setting, and Participants Mail survey of physicians in 6 specialties at high risk of litigation (emergency medicine, general surgery, orthopedic surgery, neurosurgery, obstetrics/gynecology, and radiology) in Pennsylvania in May 2003. Main Outcome Measures Number of physicians in each specialty reporting defensive medicine or changes in scope of practice and characteristics of defensive medicine (assurance and avoidance behavior). Results A total of 824 physicians (65%) completed the survey. Nearly all (93%) reported practicing defensive medicine. \"Assurance behavior\" such as ordering tests, performing diagnostic procedures, and referring patients for consultation, was very common (92%). Among practitioners of defensive medicine who detailed their most recent defensive act, 43% reported using imaging technology in clinically unnecessary circumstances. Avoidance of procedures and patients that were perceived to elevate the probability of litigation was also widespread. Forty-two percent of respondents reported that they had taken steps to restrict their practice in the previous 3 years, including eliminating procedures prone to complications, such as trauma surgery, and avoiding patients who had complex medical problems or were perceived as litigious. Defensive practice correlated strongly with respondents' lack of confidence in their liability insurance and perceived burden of insurance premiums. Conclusion Defensive medicine is highly prevalent among physicians in Pennsylvania who pay the most for liability insurance, with potentially serious implications for cost, access, and both technical and interpersonal quality of care.","author":[{"dropping-particle":"","family":"Studdert","given":"David M.","non-dropping-particle":"","parse-names":false,"suffix":""},{"dropping-particle":"","family":"Mello","given":"Michelle M.","non-dropping-particle":"","parse-names":false,"suffix":""},{"dropping-particle":"","family":"Sage","given":"William M.","non-dropping-particle":"","parse-names":false,"suffix":""},{"dropping-particle":"","family":"DesRoches","given":"Catherine M.","non-dropping-particle":"","parse-names":false,"suffix":""},{"dropping-particle":"","family":"Peugh","given":"Jordon","non-dropping-particle":"","parse-names":false,"suffix":""},{"dropping-particle":"","family":"Zapert","given":"Kinga","non-dropping-particle":"","parse-names":false,"suffix":""},{"dropping-particle":"","family":"Brennan","given":"Troyen A.","non-dropping-particle":"","parse-names":false,"suffix":""}],"container-title":"Journal of the American Medical Association","id":"ITEM-1","issue":"21","issued":{"date-parts":[["2005"]]},"page":"2609-2617","title":"Defensive medicine among high-risk specialist physicians in a volatile malpractice environment","type":"article-journal","volume":"293"},"uris":["http://www.mendeley.com/documents/?uuid=4c4e5e25-4a8c-3a94-a442-3a30fea3e173"]},{"id":"ITEM-2","itemData":{"DOI":"10.1515/dx-2014-0002","ISSN":"2194-8011","abstract":"Defensive medicine often involves the excessive ordering of diagnostic tests. Constantly aware of the risk of malpractice liability, physicians turn to diagnostic tests with the goal of reducing the likelihood of error. Findings reported in literature suggest that medical malpractice contributes significantly to the increased use of diagnostic testing and related costs. It has also been demonstrated that defensive testing not only increases costs but harms patients to a degree that depends on the risk incurred by the test itself, its false-positive and false-negative rates, the benefits and risks of available therapies, and the prior probability of disease. Several solutions have been proposed in the attempt to address this issue, but the physician’s competence and training appear to be key factors, data from clinical trials showing that education and feedback for improving test-ordering tendencies have a prolonged effect. Particularly in the field of laboratory medicine, increasing attention is being paid to improving demand management in order to minimize inappropriate testing.","author":[{"dropping-particle":"","family":"Plebani","given":"Mario","non-dropping-particle":"","parse-names":false,"suffix":""}],"container-title":"Diagnosis","id":"ITEM-2","issue":"2","issued":{"date-parts":[["2014","4","14"]]},"page":"151-154","publisher":"Walter de Gruyter GmbH","title":"Defensive medicine and diagnostic testing","type":"article-journal","volume":"1"},"uris":["http://www.mendeley.com/documents/?uuid=79970aba-6bad-31b0-b956-a87f6c4a588c"]}],"mendeley":{"formattedCitation":"(Plebani, 2014; Studdert et al., 2005)","plainTextFormattedCitation":"(Plebani, 2014; Studdert et al., 2005)","previouslyFormattedCitation":"(Plebani, 2014; Studdert et al., 2005)"},"properties":{"noteIndex":0},"schema":"https://github.com/citation-style-language/schema/raw/master/csl-citation.json"}</w:instrText>
      </w:r>
      <w:r w:rsidRPr="0097670D">
        <w:rPr>
          <w:sz w:val="22"/>
          <w:szCs w:val="22"/>
        </w:rPr>
        <w:fldChar w:fldCharType="separate"/>
      </w:r>
      <w:r w:rsidRPr="0097670D">
        <w:rPr>
          <w:noProof/>
          <w:sz w:val="22"/>
          <w:szCs w:val="22"/>
        </w:rPr>
        <w:t xml:space="preserve">(Plebani, 2014; Studdert </w:t>
      </w:r>
      <w:r w:rsidRPr="0097670D">
        <w:rPr>
          <w:i/>
          <w:iCs/>
          <w:noProof/>
          <w:sz w:val="22"/>
          <w:szCs w:val="22"/>
        </w:rPr>
        <w:t>et al.</w:t>
      </w:r>
      <w:r w:rsidRPr="0097670D">
        <w:rPr>
          <w:noProof/>
          <w:sz w:val="22"/>
          <w:szCs w:val="22"/>
        </w:rPr>
        <w:t>, 2005)</w:t>
      </w:r>
      <w:r w:rsidRPr="0097670D">
        <w:rPr>
          <w:sz w:val="22"/>
          <w:szCs w:val="22"/>
        </w:rPr>
        <w:fldChar w:fldCharType="end"/>
      </w:r>
      <w:r w:rsidRPr="0097670D">
        <w:rPr>
          <w:sz w:val="22"/>
          <w:szCs w:val="22"/>
        </w:rPr>
        <w:t>, which are typical of the hospital’s emergency rooms.</w:t>
      </w:r>
    </w:p>
    <w:p w14:paraId="74DBE95E" w14:textId="3495E79A" w:rsidR="002147D8" w:rsidRPr="0097670D" w:rsidRDefault="00890C24">
      <w:pPr>
        <w:pStyle w:val="Corpotesto"/>
        <w:spacing w:before="0" w:line="480" w:lineRule="auto"/>
        <w:ind w:firstLine="284"/>
        <w:rPr>
          <w:sz w:val="22"/>
          <w:szCs w:val="22"/>
        </w:rPr>
      </w:pPr>
      <w:r w:rsidRPr="0097670D">
        <w:rPr>
          <w:sz w:val="22"/>
          <w:szCs w:val="22"/>
        </w:rPr>
        <w:t>One common characteristic among the above medical specialities, apart from the high level of risk, is that they are used to address occasional or short-term situations. The patient–physician relationship is surely not based on long-term trust because, in most cases, both parties would not have met before. In fact, in an emergency or acute illness situation, the patient does not have the time or the possibility to choose the physician.</w:t>
      </w:r>
    </w:p>
    <w:p w14:paraId="33949F1B" w14:textId="75E2C779" w:rsidR="002147D8" w:rsidRPr="0097670D" w:rsidRDefault="00890C24">
      <w:pPr>
        <w:pStyle w:val="Corpotesto"/>
        <w:spacing w:before="0" w:line="480" w:lineRule="auto"/>
        <w:rPr>
          <w:i/>
          <w:sz w:val="22"/>
          <w:szCs w:val="22"/>
        </w:rPr>
      </w:pPr>
      <w:r w:rsidRPr="0097670D">
        <w:rPr>
          <w:sz w:val="22"/>
          <w:szCs w:val="22"/>
        </w:rPr>
        <w:t>“</w:t>
      </w:r>
      <w:r w:rsidRPr="0097670D">
        <w:rPr>
          <w:i/>
          <w:sz w:val="22"/>
          <w:szCs w:val="22"/>
        </w:rPr>
        <w:t>In emergency, trust from both parties does not exist.”</w:t>
      </w:r>
    </w:p>
    <w:p w14:paraId="67A88E45" w14:textId="77777777" w:rsidR="002147D8" w:rsidRPr="0097670D" w:rsidRDefault="00890C24">
      <w:pPr>
        <w:pStyle w:val="Corpotesto"/>
        <w:spacing w:before="0" w:line="480" w:lineRule="auto"/>
        <w:jc w:val="right"/>
        <w:rPr>
          <w:i/>
          <w:sz w:val="22"/>
          <w:szCs w:val="22"/>
        </w:rPr>
      </w:pPr>
      <w:r w:rsidRPr="0097670D">
        <w:rPr>
          <w:i/>
          <w:sz w:val="22"/>
          <w:szCs w:val="22"/>
        </w:rPr>
        <w:t>Emergency surgeon</w:t>
      </w:r>
    </w:p>
    <w:p w14:paraId="4866E780" w14:textId="4274D782" w:rsidR="002147D8" w:rsidRPr="0097670D" w:rsidRDefault="00890C24">
      <w:pPr>
        <w:pStyle w:val="Corpotesto"/>
        <w:spacing w:before="0" w:line="480" w:lineRule="auto"/>
        <w:ind w:firstLine="284"/>
        <w:rPr>
          <w:sz w:val="22"/>
          <w:szCs w:val="22"/>
        </w:rPr>
      </w:pPr>
      <w:r w:rsidRPr="0097670D">
        <w:rPr>
          <w:sz w:val="22"/>
          <w:szCs w:val="22"/>
        </w:rPr>
        <w:t xml:space="preserve">Another aspect that is undervalued most of the time is that, in emergency rooms, the physicians are in danger quite often due to problematic patients. In fact, it is common to see police or security staff patrolling in order to avoid disruptions </w:t>
      </w:r>
      <w:r w:rsidRPr="0097670D">
        <w:rPr>
          <w:sz w:val="22"/>
          <w:szCs w:val="22"/>
        </w:rPr>
        <w:fldChar w:fldCharType="begin" w:fldLock="1"/>
      </w:r>
      <w:r w:rsidRPr="0097670D">
        <w:rPr>
          <w:sz w:val="22"/>
          <w:szCs w:val="22"/>
        </w:rPr>
        <w:instrText>ADDIN CSL_CITATION {"citationItems":[{"id":"ITEM-1","itemData":{"DOI":"10.1016/j.jemermed.2013.04.049","ISSN":"07364679","abstract":"Background Workplace violence (WPV) is an important challenge faced by health care personnel in the emergency department (ED). Study Objectives To determine the prevalence and nature of WPV reported by physicians and nurses working in the EDs of four of the largest tertiary care hospitals in Karachi, Pakistan and to understand the mental health impact of experiencing WPV. Methods This cross-sectional survey was conducted between September and November 2008 using a widely used questionnaire developed by the World Health Organization. Overall, 266 (86% response rate) questionnaires were included in this study. Results A total of 44 (16.5%) physicians and nurses said they had been physically attacked, and 193 (72.5%) said that they had experienced verbal abuse in the last 12 months. Among those who reported physical attack, 29.6% reported that the last incident involved a weapon, and in 64% of cases the attacker was a patient's relative. Eighty-six percent thought that the last attack could have been prevented, and 64% said that no action was taken against the attacker. After adjusting for covariates, physicians were less likely than nurses to report physical attack (odds ratio [OR] 0.46; 95% confidence interval [CI] 0.2-1.0), and personnel with greater work experience (OR 4.8; 95% CI 2.0-11.7) and those who said that there were procedures to report WPV in their workplace (OR 3.2; 95% CI 1.6-6.5) were more likely to report verbal abuse. WPV was associated with mental health effects in the form of bothersome memories, super-alertness, and feelings of avoidance and futility. Conclusion WPV is an important challenge in the EDs of large hospitals in Karachi. A majority of respondents feel that WPV is preventable, but only a minority of attackers face consequences. Copyright © 2013 Elsevier Inc.","author":[{"dropping-particle":"","family":"Zafar","given":"Waleed","non-dropping-particle":"","parse-names":false,"suffix":""},{"dropping-particle":"","family":"Siddiqui","given":"Emaduddin","non-dropping-particle":"","parse-names":false,"suffix":""},{"dropping-particle":"","family":"Ejaz","given":"Kiran","non-dropping-particle":"","parse-names":false,"suffix":""},{"dropping-particle":"","family":"Shehzad","given":"Muhammad Umer","non-dropping-particle":"","parse-names":false,"suffix":""},{"dropping-particle":"","family":"Khan","given":"Uzma Rahim","non-dropping-particle":"","parse-names":false,"suffix":""},{"dropping-particle":"","family":"Jamali","given":"Seemin","non-dropping-particle":"","parse-names":false,"suffix":""},{"dropping-particle":"","family":"Razzak","given":"Junaid A.","non-dropping-particle":"","parse-names":false,"suffix":""}],"container-title":"Journal of Emergency Medicine","id":"ITEM-1","issue":"5","issued":{"date-parts":[["2013"]]},"page":"761-772","publisher":"Elsevier Ltd","title":"Health care personnel and workplace violence in the emergency departments of a volatile metropolis: Results from Karachi, Pakistan","type":"article-journal","volume":"45"},"uris":["http://www.mendeley.com/documents/?uuid=8a0d54f8-4d30-4bea-9da0-0a4fdf90083f"]},{"id":"ITEM-2","itemData":{"DOI":"10.1002/ajim.22797","ISSN":"10970274","abstract":"Background: Violence against emergency medical services (EMS) personnel is a growing concern. The aim of this systematic review is to synthesize the current literature on violence against EMS personnel. Methods: We examined literature from 2000 to 2016. Eligibility criteria included English-language, peer-reviewed studies of EMS personnel that described violence or assaults. Sixteen searches identified 2655 studies; 25 studies from nine countries met the inclusion criteria. Results: The evidence from this review demonstrates that violence is a common risk for EMS personnel. We identified three critical topic areas: changes in risk over time, economic impact of violence and, outcomes of risk-reduction interventions. There is a lack of peer reviewed research of interventions, with the result that current intervention programs have no reliable evidence base. Conclusions: EMS leaders and personnel should work together with researchers to design, implement, evaluate and publish intervention studies designed to mitigate risks of violence to EMS personnel.","author":[{"dropping-particle":"","family":"Maguire","given":"Brian J.","non-dropping-particle":"","parse-names":false,"suffix":""},{"dropping-particle":"","family":"O'Meara","given":"Peter","non-dropping-particle":"","parse-names":false,"suffix":""},{"dropping-particle":"","family":"O'Neill","given":"Barbara J.","non-dropping-particle":"","parse-names":false,"suffix":""},{"dropping-particle":"","family":"Brightwell","given":"Richard","non-dropping-particle":"","parse-names":false,"suffix":""}],"container-title":"American Journal of Industrial Medicine","id":"ITEM-2","issue":"2","issued":{"date-parts":[["2018"]]},"page":"167-180","title":"Violence against emergency medical services personnel: A systematic review of the literature","type":"article-journal","volume":"61"},"uris":["http://www.mendeley.com/documents/?uuid=50ae84ea-f32c-4732-8e46-c68515e2a7c7"]}],"mendeley":{"formattedCitation":"(Maguire et al., 2018; Zafar et al., 2013)","plainTextFormattedCitation":"(Maguire et al., 2018; Zafar et al., 2013)","previouslyFormattedCitation":"(Maguire et al., 2018; Zafar et al., 2013)"},"properties":{"noteIndex":0},"schema":"https://github.com/citation-style-language/schema/raw/master/csl-citation.json"}</w:instrText>
      </w:r>
      <w:r w:rsidRPr="0097670D">
        <w:rPr>
          <w:sz w:val="22"/>
          <w:szCs w:val="22"/>
        </w:rPr>
        <w:fldChar w:fldCharType="separate"/>
      </w:r>
      <w:r w:rsidRPr="0097670D">
        <w:rPr>
          <w:noProof/>
          <w:sz w:val="22"/>
          <w:szCs w:val="22"/>
        </w:rPr>
        <w:t xml:space="preserve">(Maguire </w:t>
      </w:r>
      <w:r w:rsidRPr="0097670D">
        <w:rPr>
          <w:i/>
          <w:iCs/>
          <w:noProof/>
          <w:sz w:val="22"/>
          <w:szCs w:val="22"/>
        </w:rPr>
        <w:t>et al.</w:t>
      </w:r>
      <w:r w:rsidRPr="0097670D">
        <w:rPr>
          <w:noProof/>
          <w:sz w:val="22"/>
          <w:szCs w:val="22"/>
        </w:rPr>
        <w:t xml:space="preserve">, 2018; Zafar </w:t>
      </w:r>
      <w:r w:rsidRPr="0097670D">
        <w:rPr>
          <w:i/>
          <w:iCs/>
          <w:noProof/>
          <w:sz w:val="22"/>
          <w:szCs w:val="22"/>
        </w:rPr>
        <w:t>et al.</w:t>
      </w:r>
      <w:r w:rsidRPr="0097670D">
        <w:rPr>
          <w:noProof/>
          <w:sz w:val="22"/>
          <w:szCs w:val="22"/>
        </w:rPr>
        <w:t>, 2013)</w:t>
      </w:r>
      <w:r w:rsidRPr="0097670D">
        <w:rPr>
          <w:sz w:val="22"/>
          <w:szCs w:val="22"/>
        </w:rPr>
        <w:fldChar w:fldCharType="end"/>
      </w:r>
      <w:r w:rsidRPr="0097670D">
        <w:rPr>
          <w:sz w:val="22"/>
          <w:szCs w:val="22"/>
        </w:rPr>
        <w:t>. This also provides evidence of the interpersonal absence of trust, and also the threat to one’s own safety, that physicians and the medical staff can suffer.</w:t>
      </w:r>
    </w:p>
    <w:p w14:paraId="2ECBEBB3" w14:textId="1E53D1C9" w:rsidR="002147D8" w:rsidRPr="0097670D" w:rsidRDefault="00890C24">
      <w:pPr>
        <w:pStyle w:val="Corpotesto"/>
        <w:spacing w:before="0" w:line="480" w:lineRule="auto"/>
        <w:rPr>
          <w:i/>
          <w:sz w:val="22"/>
          <w:szCs w:val="22"/>
        </w:rPr>
      </w:pPr>
      <w:r w:rsidRPr="0097670D">
        <w:rPr>
          <w:sz w:val="22"/>
          <w:szCs w:val="22"/>
        </w:rPr>
        <w:lastRenderedPageBreak/>
        <w:t>“</w:t>
      </w:r>
      <w:r w:rsidRPr="0097670D">
        <w:rPr>
          <w:i/>
          <w:sz w:val="22"/>
          <w:szCs w:val="22"/>
        </w:rPr>
        <w:t>One day I had to perform emergency surgery on an old woman, and her son came in the surgical room in shorts and slippers to threaten me in case something went wrong. Then the policemen took him out of the room. […] Two other times, armed people came into the hospital searching for a medical professional.”</w:t>
      </w:r>
    </w:p>
    <w:p w14:paraId="601DEF78" w14:textId="77777777" w:rsidR="002147D8" w:rsidRPr="0097670D" w:rsidRDefault="00890C24">
      <w:pPr>
        <w:pStyle w:val="Corpotesto"/>
        <w:spacing w:before="0" w:line="480" w:lineRule="auto"/>
        <w:jc w:val="right"/>
        <w:rPr>
          <w:i/>
          <w:sz w:val="22"/>
          <w:szCs w:val="22"/>
        </w:rPr>
      </w:pPr>
      <w:r w:rsidRPr="0097670D">
        <w:rPr>
          <w:i/>
          <w:sz w:val="22"/>
          <w:szCs w:val="22"/>
        </w:rPr>
        <w:t>Emergency surgeon</w:t>
      </w:r>
    </w:p>
    <w:p w14:paraId="7778A655" w14:textId="3E8CCB88" w:rsidR="002147D8" w:rsidRPr="0097670D" w:rsidRDefault="00DD49F6">
      <w:pPr>
        <w:pStyle w:val="Corpotesto"/>
        <w:spacing w:before="0" w:line="480" w:lineRule="auto"/>
        <w:ind w:firstLine="284"/>
        <w:rPr>
          <w:sz w:val="22"/>
          <w:szCs w:val="22"/>
        </w:rPr>
      </w:pPr>
      <w:r w:rsidRPr="0097670D">
        <w:rPr>
          <w:sz w:val="22"/>
          <w:szCs w:val="22"/>
        </w:rPr>
        <w:t>H</w:t>
      </w:r>
      <w:r w:rsidR="00890C24" w:rsidRPr="0097670D">
        <w:rPr>
          <w:sz w:val="22"/>
          <w:szCs w:val="22"/>
        </w:rPr>
        <w:t xml:space="preserve">ospital emergency rooms take care of a very high volume of people every day </w:t>
      </w:r>
      <w:r w:rsidR="00890C24" w:rsidRPr="0097670D">
        <w:rPr>
          <w:sz w:val="22"/>
          <w:szCs w:val="22"/>
        </w:rPr>
        <w:fldChar w:fldCharType="begin" w:fldLock="1"/>
      </w:r>
      <w:r w:rsidR="00DD223D" w:rsidRPr="0097670D">
        <w:rPr>
          <w:sz w:val="22"/>
          <w:szCs w:val="22"/>
        </w:rPr>
        <w:instrText>ADDIN CSL_CITATION {"citationItems":[{"id":"ITEM-1","itemData":{"DOI":"10.1016/j.jemermed.2008.03.038","ISSN":"07364679","PMID":"18514465","abstract":"Emergency Department (ED) crowding is a common problem in the United States and around the world. Process reengineering methods can be used to understand factors that contribute to crowding and provide tools to help alleviate crowding by improving service quality and patient flow. In this article, we describe the ED as a service business and then discuss specific methods to improve the ED quality and flow. Methods discussed include demand management, critical pathways, process-mapping, Emergency Severity Index triage, bedside registration, Lean and Six Sigma management methods, statistical forecasting, queuing systems, discrete event simulation modeling and balanced scorecards. The purpose of this review is to serve as a background for emergency physicians and managers interested in applying process reengineering methods to improving ED flow, reducing waiting times, and maximizing patient satisfaction. Finally, we present a position statement on behalf of the American Academy of Emergency Medicine addressing these issues. © 2010 Elsevier Inc. All rights reserved.","author":[{"dropping-particle":"","family":"Eitel","given":"Dave R.","non-dropping-particle":"","parse-names":false,"suffix":""},{"dropping-particle":"","family":"Rudkin","given":"Scott E.","non-dropping-particle":"","parse-names":false,"suffix":""},{"dropping-particle":"","family":"Malvehy","given":"M. Albert","non-dropping-particle":"","parse-names":false,"suffix":""},{"dropping-particle":"","family":"Killeen","given":"James P.","non-dropping-particle":"","parse-names":false,"suffix":""},{"dropping-particle":"","family":"Pines","given":"Jesse M.","non-dropping-particle":"","parse-names":false,"suffix":""}],"container-title":"Journal of Emergency Medicine","id":"ITEM-1","issue":"1","issued":{"date-parts":[["2010"]]},"page":"70-79","publisher":"Elsevier Inc.","title":"Improving Service Quality by Understanding Emergency Department Flow: A White Paper and Position Statement Prepared For the American Academy of Emergency Medicine","type":"article-journal","volume":"38"},"uris":["http://www.mendeley.com/documents/?uuid=0ee8ff7d-588a-4d52-8a42-4d4894d0816f"]},{"id":"ITEM-2","itemData":{"abstract":"Ten years ago, serious overcrowding in emergency departments became a national issue. Although temporary improvement of the problem occurred, the issue of ED overcrowding has now resurfaced and threatens to become worse. Overcrowding is caused by a complex web of interrelated issues described in this article. ED overcrowding has multiple effects, including placing the patient at risk for poor outcome, prolonged pain and suffering of some patients, long patient waits, patient dissatisfaction, ambulance diversions in some cities, decreased physician productivity, increased frustration among medical staff, and violence. Solving the problem of overcrowding will not only require a major financial commitment from the federal government and local hospitals, but will also require a cooperation from managed care. Unless the problem is solved in the near future, the general public may no longer be able to rely on EDs for quality and timely emergency care, placing the people of this country at risk. [Derlet RW, Richards JR. Overcrowding in the nation's emergency departments: complex causes and disturbing effects. Ann Emerg Med. January 2000;35:63-68.] I N T R O D U C T I O N We believe the issue of overcrowding in emergency departments has become a significant national problem. We base our opinion on discussions with emergency physicians across the country. Many private, academic, and urban EDs in both large and small communities are frequently subjecting patients to long delays compared with many years ago, when such overcrowding occurred primarily in inner-city EDs on Friday or Saturday nights.","author":[{"dropping-particle":"","family":"Richards","given":"John R","non-dropping-particle":"","parse-names":false,"suffix":""},{"dropping-particle":"","family":"Derlet","given":"Robert W","non-dropping-particle":"","parse-names":false,"suffix":""}],"container-title":"Annals of Emergency Medicine","id":"ITEM-2","issue":"1","issued":{"date-parts":[["2000"]]},"page":"3-8","title":"Overcrowding in the Nation’ s Emergency Departments: Complex Causes and Disturbing Effects","type":"article-journal","volume":"35"},"uris":["http://www.mendeley.com/documents/?uuid=6d6c0f8c-d8f0-4abb-aaa1-31107caa1304"]},{"id":"ITEM-3","itemData":{"author":[{"dropping-particle":"","family":"Miró","given":"Ò.","non-dropping-particle":"","parse-names":false,"suffix":""},{"dropping-particle":"","family":"Antonio","given":"M.T.","non-dropping-particle":"","parse-names":false,"suffix":""},{"dropping-particle":"","family":"Jiménez","given":"S.","non-dropping-particle":"","parse-names":false,"suffix":""},{"dropping-particle":"","family":"Dios","given":"A.","non-dropping-particle":"De","parse-names":false,"suffix":""},{"dropping-particle":"","family":"Sánchez","given":"M.","non-dropping-particle":"","parse-names":false,"suffix":""},{"dropping-particle":"","family":"Borrás","given":"A.","non-dropping-particle":"","parse-names":false,"suffix":""},{"dropping-particle":"","family":"Millá","given":"J.","non-dropping-particle":"","parse-names":false,"suffix":""}],"container-title":"European Journal of Emergency Medicine: Official Journal of the European Society for Emergency Medicine","id":"ITEM-3","issue":"2","issued":{"date-parts":[["1999"]]},"page":"105-107","title":"Decreased health care quality associated with emergency department overcrowding","type":"article-journal","volume":"6"},"uris":["http://www.mendeley.com/documents/?uuid=cba9a5e4-60fe-4030-930b-990851856bed"]}],"mendeley":{"formattedCitation":"(Eitel et al., 2010; Miró et al., 1999; Richards and Derlet, 2000)","plainTextFormattedCitation":"(Eitel et al., 2010; Miró et al., 1999; Richards and Derlet, 2000)","previouslyFormattedCitation":"(Eitel et al., 2010; Miró et al., 1999; Richards and Derlet, 2000)"},"properties":{"noteIndex":0},"schema":"https://github.com/citation-style-language/schema/raw/master/csl-citation.json"}</w:instrText>
      </w:r>
      <w:r w:rsidR="00890C24" w:rsidRPr="0097670D">
        <w:rPr>
          <w:sz w:val="22"/>
          <w:szCs w:val="22"/>
        </w:rPr>
        <w:fldChar w:fldCharType="separate"/>
      </w:r>
      <w:r w:rsidR="00890C24" w:rsidRPr="0097670D">
        <w:rPr>
          <w:noProof/>
          <w:sz w:val="22"/>
          <w:szCs w:val="22"/>
        </w:rPr>
        <w:t xml:space="preserve">(Eitel </w:t>
      </w:r>
      <w:r w:rsidR="00890C24" w:rsidRPr="0097670D">
        <w:rPr>
          <w:i/>
          <w:iCs/>
          <w:noProof/>
          <w:sz w:val="22"/>
          <w:szCs w:val="22"/>
        </w:rPr>
        <w:t>et al.</w:t>
      </w:r>
      <w:r w:rsidR="00890C24" w:rsidRPr="0097670D">
        <w:rPr>
          <w:noProof/>
          <w:sz w:val="22"/>
          <w:szCs w:val="22"/>
        </w:rPr>
        <w:t xml:space="preserve">, 2010; Miró </w:t>
      </w:r>
      <w:r w:rsidR="00890C24" w:rsidRPr="0097670D">
        <w:rPr>
          <w:i/>
          <w:iCs/>
          <w:noProof/>
          <w:sz w:val="22"/>
          <w:szCs w:val="22"/>
        </w:rPr>
        <w:t>et al.</w:t>
      </w:r>
      <w:r w:rsidR="00890C24" w:rsidRPr="0097670D">
        <w:rPr>
          <w:noProof/>
          <w:sz w:val="22"/>
          <w:szCs w:val="22"/>
        </w:rPr>
        <w:t>, 1999; Richards and Derlet, 2000)</w:t>
      </w:r>
      <w:r w:rsidR="00890C24" w:rsidRPr="0097670D">
        <w:rPr>
          <w:sz w:val="22"/>
          <w:szCs w:val="22"/>
        </w:rPr>
        <w:fldChar w:fldCharType="end"/>
      </w:r>
      <w:r w:rsidR="00890C24" w:rsidRPr="0097670D">
        <w:rPr>
          <w:sz w:val="22"/>
          <w:szCs w:val="22"/>
        </w:rPr>
        <w:t xml:space="preserve">, </w:t>
      </w:r>
      <w:r w:rsidRPr="0097670D">
        <w:rPr>
          <w:sz w:val="22"/>
          <w:szCs w:val="22"/>
        </w:rPr>
        <w:t xml:space="preserve">for this reason </w:t>
      </w:r>
      <w:r w:rsidR="00890C24" w:rsidRPr="0097670D">
        <w:rPr>
          <w:sz w:val="22"/>
          <w:szCs w:val="22"/>
        </w:rPr>
        <w:t>the standardization of the practices and processes, even therapies and diagnostic tests, is useful for handling the high demand</w:t>
      </w:r>
      <w:r w:rsidRPr="0097670D">
        <w:rPr>
          <w:sz w:val="22"/>
          <w:szCs w:val="22"/>
        </w:rPr>
        <w:t xml:space="preserve">, but </w:t>
      </w:r>
      <w:r w:rsidR="00176AA0" w:rsidRPr="0097670D">
        <w:rPr>
          <w:sz w:val="22"/>
          <w:szCs w:val="22"/>
        </w:rPr>
        <w:t>this cannot avoid the introduction of some risk. One of them</w:t>
      </w:r>
      <w:r w:rsidR="00890C24" w:rsidRPr="0097670D">
        <w:rPr>
          <w:sz w:val="22"/>
          <w:szCs w:val="22"/>
        </w:rPr>
        <w:t xml:space="preserve"> is that the </w:t>
      </w:r>
      <w:r w:rsidR="00176AA0" w:rsidRPr="0097670D">
        <w:rPr>
          <w:sz w:val="22"/>
          <w:szCs w:val="22"/>
        </w:rPr>
        <w:t xml:space="preserve">standardised </w:t>
      </w:r>
      <w:r w:rsidR="00890C24" w:rsidRPr="0097670D">
        <w:rPr>
          <w:sz w:val="22"/>
          <w:szCs w:val="22"/>
        </w:rPr>
        <w:t>therapies and tests could have no efficacy, because every person is different from one to another, broader medical guidelines are provided in order to keep the service quality high. In these uncertain contexts, overtreatment and overordering of diagnostic tests, even beyond recommended guidelines, are common practices in an effort to avoid lawsuits by patients.</w:t>
      </w:r>
    </w:p>
    <w:p w14:paraId="6A91FF9D" w14:textId="6D972E3B" w:rsidR="002147D8" w:rsidRPr="0097670D" w:rsidRDefault="00890C24">
      <w:pPr>
        <w:pStyle w:val="Corpotesto"/>
        <w:spacing w:before="0" w:line="480" w:lineRule="auto"/>
        <w:ind w:firstLine="284"/>
        <w:rPr>
          <w:sz w:val="22"/>
          <w:szCs w:val="22"/>
        </w:rPr>
      </w:pPr>
      <w:r w:rsidRPr="0097670D">
        <w:rPr>
          <w:sz w:val="22"/>
          <w:szCs w:val="22"/>
        </w:rPr>
        <w:t>In the situations mentioned, the priority for the physician is in preserving the patient’s health, so not much attention is given to the patient’s experience or satisfaction. In the case of an emergency, the only important thing is to save the patient’s life.</w:t>
      </w:r>
    </w:p>
    <w:p w14:paraId="7E082A3C" w14:textId="77777777" w:rsidR="002147D8" w:rsidRPr="0097670D" w:rsidRDefault="00890C24">
      <w:pPr>
        <w:pStyle w:val="Corpotesto"/>
        <w:spacing w:before="0" w:line="480" w:lineRule="auto"/>
        <w:rPr>
          <w:i/>
          <w:sz w:val="22"/>
          <w:szCs w:val="22"/>
        </w:rPr>
      </w:pPr>
      <w:r w:rsidRPr="0097670D">
        <w:rPr>
          <w:i/>
          <w:sz w:val="22"/>
          <w:szCs w:val="22"/>
        </w:rPr>
        <w:t>“In emergencies, the only important thing is saving the patient’s life.”</w:t>
      </w:r>
    </w:p>
    <w:p w14:paraId="1A4937D6" w14:textId="77777777" w:rsidR="002147D8" w:rsidRPr="0097670D" w:rsidRDefault="00890C24">
      <w:pPr>
        <w:pStyle w:val="Corpotesto"/>
        <w:spacing w:before="0" w:line="480" w:lineRule="auto"/>
        <w:jc w:val="right"/>
        <w:rPr>
          <w:i/>
          <w:sz w:val="22"/>
          <w:szCs w:val="22"/>
        </w:rPr>
      </w:pPr>
      <w:r w:rsidRPr="0097670D">
        <w:rPr>
          <w:i/>
          <w:sz w:val="22"/>
          <w:szCs w:val="22"/>
        </w:rPr>
        <w:t>Emergency surgeon</w:t>
      </w:r>
    </w:p>
    <w:p w14:paraId="05EFBFEC" w14:textId="77777777" w:rsidR="002147D8" w:rsidRPr="0097670D" w:rsidRDefault="002147D8">
      <w:pPr>
        <w:pStyle w:val="Corpotesto"/>
        <w:spacing w:before="0" w:line="480" w:lineRule="auto"/>
        <w:jc w:val="right"/>
        <w:rPr>
          <w:sz w:val="22"/>
          <w:szCs w:val="22"/>
        </w:rPr>
      </w:pPr>
    </w:p>
    <w:p w14:paraId="59A27688" w14:textId="77777777" w:rsidR="002147D8" w:rsidRPr="0097670D" w:rsidRDefault="00890C24">
      <w:pPr>
        <w:pStyle w:val="Corpotesto"/>
        <w:spacing w:before="0" w:line="480" w:lineRule="auto"/>
        <w:rPr>
          <w:b/>
          <w:sz w:val="22"/>
          <w:szCs w:val="22"/>
        </w:rPr>
      </w:pPr>
      <w:r w:rsidRPr="0097670D">
        <w:rPr>
          <w:b/>
          <w:sz w:val="22"/>
          <w:szCs w:val="22"/>
        </w:rPr>
        <w:t>Discussion</w:t>
      </w:r>
    </w:p>
    <w:p w14:paraId="48AA2948" w14:textId="66E0C34D" w:rsidR="002147D8" w:rsidRPr="0097670D" w:rsidRDefault="00890C24">
      <w:pPr>
        <w:pStyle w:val="Corpotesto"/>
        <w:spacing w:before="0" w:line="480" w:lineRule="auto"/>
        <w:rPr>
          <w:sz w:val="22"/>
          <w:szCs w:val="22"/>
        </w:rPr>
      </w:pPr>
      <w:r w:rsidRPr="0097670D">
        <w:rPr>
          <w:sz w:val="22"/>
          <w:szCs w:val="22"/>
          <w:lang w:val="en-US"/>
        </w:rPr>
        <w:t xml:space="preserve">We defined </w:t>
      </w:r>
      <w:r w:rsidRPr="0097670D">
        <w:rPr>
          <w:sz w:val="22"/>
          <w:szCs w:val="22"/>
        </w:rPr>
        <w:t xml:space="preserve">four archetypes of patient–physician relationship based on their effects on the likelihood of value co-creation and the risk of defensive medicine behaviours, as these two phenomena are very relevant in healthcare management today </w:t>
      </w:r>
      <w:r w:rsidRPr="0097670D">
        <w:rPr>
          <w:sz w:val="22"/>
          <w:szCs w:val="22"/>
        </w:rPr>
        <w:fldChar w:fldCharType="begin" w:fldLock="1"/>
      </w:r>
      <w:r w:rsidRPr="0097670D">
        <w:rPr>
          <w:sz w:val="22"/>
          <w:szCs w:val="22"/>
        </w:rPr>
        <w:instrText>ADDIN CSL_CITATION {"citationItems":[{"id":"ITEM-1","itemData":{"DOI":"10.12998/wjcc.v6.i11.447","ISSN":"2307-8960","abstract":"I WJCC|www.wjgnet.com July 16, 2017|Volume 5|Issue 7| MINIREVIEWS 258 New Zippi M, Hong W, Crispino P, Traversa G 264 Screening - old Pavlovic M, Berenji K, Bukurov M 270 Practical Nayak R ORIGINAL ARTICLE Retrospective Study 280 Feasibility Yamamiya A, Kitamura K, Ishii Y, Mitsui Y, Nomoto T, Yoshida H SYSTEMATIC REVIEWS 286 Diagnostic Kanzara T, Virk JS CASE REPORT 292 Post : Literature Pescatori L, Tropeano MP, Mancarella C, Prizio E, Santoro G, Domenicucci M 299 Rare Luongo M 303 Is ?","author":[{"dropping-particle":"","family":"Vento","given":"Sandro","non-dropping-particle":"","parse-names":false,"suffix":""},{"dropping-particle":"","family":"Cainelli","given":"Francesca","non-dropping-particle":"","parse-names":false,"suffix":""},{"dropping-particle":"","family":"Vallone","given":"Alfredo","non-dropping-particle":"","parse-names":false,"suffix":""}],"container-title":"World Journal of Clinical Cases","id":"ITEM-1","issue":"9","issued":{"date-parts":[["2018"]]},"page":"157-164","title":"Defensive medicine: It is time to finally slow down an epidemic","type":"article-journal","volume":"9"},"uris":["http://www.mendeley.com/documents/?uuid=6ddf2100-cc41-34aa-ace5-1fefbae79ea6"]},{"id":"ITEM-2","itemData":{"DOI":"10.1016/j.jom.2016.10.001","ISSN":"02726963","abstract":"In services, which require significant customer participation to create value, customers who lack the knowledge, skills and motivation necessary to participate effectively can negatively impact service quality and cost outcomes. This paper develops a conceptual model to investigate the effectiveness of utilizing customer training and education (CTE) to improve customer readiness to provide effective behaviors in a professional service. The model was tested using survey data from patients diagnosed with diabetes who received CTE as part of their healthcare service. We found that customers who are taught why they have to perform the tasks, have higher levels of motivation to perform these tasks effectively. Further, as proposed by the customer readiness model, when their task performance is higher, they have improved health and lower healthcare costs.","author":[{"dropping-particle":"","family":"Damali","given":"Uzay","non-dropping-particle":"","parse-names":false,"suffix":""},{"dropping-particle":"","family":"Miller","given":"Janis L.","non-dropping-particle":"","parse-names":false,"suffix":""},{"dropping-particle":"","family":"Fredendall","given":"Lawrence D.","non-dropping-particle":"","parse-names":false,"suffix":""},{"dropping-particle":"","family":"Moore","given":"De Wayne","non-dropping-particle":"","parse-names":false,"suffix":""},{"dropping-particle":"","family":"Dye","given":"Cheryl J.","non-dropping-particle":"","parse-names":false,"suffix":""}],"container-title":"Journal of Operations Management","id":"ITEM-2","issued":{"date-parts":[["2016","11","1"]]},"page":"80-97","publisher":"Elsevier B.V.","title":"Co-creating value using customer training and education in a healthcare service design","type":"article-journal","volume":"47-48"},"uris":["http://www.mendeley.com/documents/?uuid=11d74e84-e4b0-3392-a886-2371c8774f4e"]},{"id":"ITEM-3","itemData":{"DOI":"10.2147/ieh.s93473","ISSN":"2324-5905","abstract":"Consumers value health and a sense of well-being. The health care system cannot supply these values, but only “products” such as hospitalization, ambulatory care, medica- tions, procedures, and preventative care. These components of health care represent neither the value within the system nor the desired final output. Nonetheless, the health care system has focused inordinately on the products, to the point of suggesting that they have intrinsic value. We link this situation to the concept of goods-dominant logic, which has dominated business and managerial thinking since the Industrial Revolution. We then explain why and how moving to service-dominant logic is essential for consumers and providers to better cocreate value from products which are not intrinsically valuable. The challenge of cocreating value is confounded by information asymmetry, and by the myriad factors in the health care ecosystem that contribute to or detract from health and well-being. A new lexicon, emanating from service-dominant logic, is suggested to facilitate the move away from a goods-dominant mindset.","author":[{"dropping-particle":"","family":"Joiner","given":"Keith","non-dropping-particle":"","parse-names":false,"suffix":""},{"dropping-particle":"","family":"Lusch","given":"Robert","non-dropping-particle":"","parse-names":false,"suffix":""}],"container-title":"Innovation and Entrepreneurship in Health","id":"ITEM-3","issued":{"date-parts":[["2016"]]},"page":"25","title":"Evolving to a new service-dominant logic for health care","type":"article-journal"},"uris":["http://www.mendeley.com/documents/?uuid=e445a5bd-08f6-4c02-a72f-82d550edbb5f"]}],"mendeley":{"formattedCitation":"(Damali et al., 2016; Joiner and Lusch, 2016; Vento et al., 2018)","plainTextFormattedCitation":"(Damali et al., 2016; Joiner and Lusch, 2016; Vento et al., 2018)","previouslyFormattedCitation":"(Damali et al., 2016; Joiner and Lusch, 2016; Vento et al., 2018)"},"properties":{"noteIndex":0},"schema":"https://github.com/citation-style-language/schema/raw/master/csl-citation.json"}</w:instrText>
      </w:r>
      <w:r w:rsidRPr="0097670D">
        <w:rPr>
          <w:sz w:val="22"/>
          <w:szCs w:val="22"/>
        </w:rPr>
        <w:fldChar w:fldCharType="separate"/>
      </w:r>
      <w:r w:rsidRPr="0097670D">
        <w:rPr>
          <w:noProof/>
          <w:sz w:val="22"/>
          <w:szCs w:val="22"/>
        </w:rPr>
        <w:t xml:space="preserve">(Damali </w:t>
      </w:r>
      <w:r w:rsidRPr="0097670D">
        <w:rPr>
          <w:i/>
          <w:iCs/>
          <w:noProof/>
          <w:sz w:val="22"/>
          <w:szCs w:val="22"/>
        </w:rPr>
        <w:t>et al.</w:t>
      </w:r>
      <w:r w:rsidRPr="0097670D">
        <w:rPr>
          <w:noProof/>
          <w:sz w:val="22"/>
          <w:szCs w:val="22"/>
        </w:rPr>
        <w:t xml:space="preserve">, 2016; Joiner and Lusch, 2016; Vento </w:t>
      </w:r>
      <w:r w:rsidRPr="0097670D">
        <w:rPr>
          <w:i/>
          <w:iCs/>
          <w:noProof/>
          <w:sz w:val="22"/>
          <w:szCs w:val="22"/>
        </w:rPr>
        <w:t>et al.</w:t>
      </w:r>
      <w:r w:rsidRPr="0097670D">
        <w:rPr>
          <w:noProof/>
          <w:sz w:val="22"/>
          <w:szCs w:val="22"/>
        </w:rPr>
        <w:t>, 2018)</w:t>
      </w:r>
      <w:r w:rsidRPr="0097670D">
        <w:rPr>
          <w:sz w:val="22"/>
          <w:szCs w:val="22"/>
        </w:rPr>
        <w:fldChar w:fldCharType="end"/>
      </w:r>
      <w:r w:rsidRPr="0097670D">
        <w:rPr>
          <w:sz w:val="22"/>
          <w:szCs w:val="22"/>
        </w:rPr>
        <w:t xml:space="preserve">. Thanks to this approach, we are able to provide insights and reflections on patient–physician relationship archetypes and, in particular, on their differences and commonalities. For example, in the literature, the informative relationship is commonly considered to be in contrast with the paternalistic one </w:t>
      </w:r>
      <w:r w:rsidRPr="0097670D">
        <w:rPr>
          <w:sz w:val="22"/>
          <w:szCs w:val="22"/>
        </w:rPr>
        <w:fldChar w:fldCharType="begin" w:fldLock="1"/>
      </w:r>
      <w:r w:rsidRPr="0097670D">
        <w:rPr>
          <w:sz w:val="22"/>
          <w:szCs w:val="22"/>
        </w:rPr>
        <w:instrText>ADDIN CSL_CITATION {"citationItems":[{"id":"ITEM-1","itemData":{"DOI":"10.1001/jama.1992.03480160079038","ISSN":"15383598","PMID":"1556799","author":[{"dropping-particle":"","family":"Emanuel","given":"Ezekiel J.","non-dropping-particle":"","parse-names":false,"suffix":""},{"dropping-particle":"","family":"Emanuel","given":"Linda L.","non-dropping-particle":"","parse-names":false,"suffix":""}],"container-title":"JAMA: The Journal of the American Medical Association","id":"ITEM-1","issue":"16","issued":{"date-parts":[["1992"]]},"page":"2221-2226","title":"Four Models of the Physician-Patient Relationship","type":"article-journal","volume":"267"},"uris":["http://www.mendeley.com/documents/?uuid=224dcae2-a5ac-4c60-9031-b187a1d172b7"]},{"id":"ITEM-2","itemData":{"DOI":"10.1016/j.socscimed.2013.07.026","ISSN":"02779536","abstract":"Over the past few decades, the concept of \"patient-centeredness\" has been intensively studied in health communication research on patient-physician interaction. Despite its popularity, this concept has often been criticized for lacking a unified definition and operationalized measurement. This article reviews how health communication research on patient-physician interaction has conceptualized and operationalized patient-centered communication based on four major theoretical perspectives in sociology (i.e., functionalism, conflict theory, utilitarianism, and social constructionism), and discusses the agenda for future research in this field. Each theory addresses different aspects of the patient-physician relationship and communication from different theoretical viewpoints. Patient-centeredness is a multifaceted construct with no single theory that can sufficiently define the whole concept. Different theoretical perspectives of patient-centered communication can be selectively adopted according to the context and nature of problems in the patient-physician relationship that a particular study aims to explore. The present study may provide a useful framework: it offers an overview of the differing models of patient-centered communication and the expected roles and goals in each model; it does so toward identifying a communication model that fits the patient and the context and toward theoretically reconstructing existing measures of patient-centered communication. Furthermore, although patient-centered communication has been defined mainly from the viewpoint of physician's behaviors aimed at achieving patient-centered care, patient competence is also required for patient-centered communication. This needs to be examined in current medical practice. © 2013 Elsevier Ltd.","author":[{"dropping-particle":"","family":"Ishikawa","given":"Hirono","non-dropping-particle":"","parse-names":false,"suffix":""},{"dropping-particle":"","family":"Hashimoto","given":"Hideki","non-dropping-particle":"","parse-names":false,"suffix":""},{"dropping-particle":"","family":"Kiuchi","given":"Takahiro","non-dropping-particle":"","parse-names":false,"suffix":""}],"container-title":"Social Science and Medicine","id":"ITEM-2","issued":{"date-parts":[["2013"]]},"page":"147-153","publisher":"Elsevier Ltd","title":"The evolving concept of \"patient-centeredness\" in patient-physician communication research","type":"article-journal","volume":"96"},"uris":["http://www.mendeley.com/documents/?uuid=82db362a-5e7d-4d09-87ce-358352222322"]}],"mendeley":{"formattedCitation":"(Emanuel and Emanuel, 1992; Ishikawa et al., 2013)","plainTextFormattedCitation":"(Emanuel and Emanuel, 1992; Ishikawa et al., 2013)","previouslyFormattedCitation":"(Emanuel and Emanuel, 1992; Ishikawa et al., 2013)"},"properties":{"noteIndex":0},"schema":"https://github.com/citation-style-language/schema/raw/master/csl-citation.json"}</w:instrText>
      </w:r>
      <w:r w:rsidRPr="0097670D">
        <w:rPr>
          <w:sz w:val="22"/>
          <w:szCs w:val="22"/>
        </w:rPr>
        <w:fldChar w:fldCharType="separate"/>
      </w:r>
      <w:r w:rsidRPr="0097670D">
        <w:rPr>
          <w:noProof/>
          <w:sz w:val="22"/>
          <w:szCs w:val="22"/>
        </w:rPr>
        <w:t xml:space="preserve">(Emanuel and Emanuel, 1992; Ishikawa </w:t>
      </w:r>
      <w:r w:rsidRPr="0097670D">
        <w:rPr>
          <w:i/>
          <w:iCs/>
          <w:noProof/>
          <w:sz w:val="22"/>
          <w:szCs w:val="22"/>
        </w:rPr>
        <w:t>et al.</w:t>
      </w:r>
      <w:r w:rsidRPr="0097670D">
        <w:rPr>
          <w:noProof/>
          <w:sz w:val="22"/>
          <w:szCs w:val="22"/>
        </w:rPr>
        <w:t>, 2013)</w:t>
      </w:r>
      <w:r w:rsidRPr="0097670D">
        <w:rPr>
          <w:sz w:val="22"/>
          <w:szCs w:val="22"/>
        </w:rPr>
        <w:fldChar w:fldCharType="end"/>
      </w:r>
      <w:r w:rsidRPr="0097670D">
        <w:rPr>
          <w:sz w:val="22"/>
          <w:szCs w:val="22"/>
        </w:rPr>
        <w:t xml:space="preserve">. However, our study shows that, although both the paternalistic and informative </w:t>
      </w:r>
      <w:r w:rsidRPr="0097670D">
        <w:rPr>
          <w:sz w:val="22"/>
          <w:szCs w:val="22"/>
        </w:rPr>
        <w:lastRenderedPageBreak/>
        <w:t xml:space="preserve">archetypes have, in fact, opposite effects in terms of defensive medicine and value co-creation, neither is necessarily better or worse in terms of a desired healthcare outcome. In fact, one is preferable in terms of value co-creation, and the other is preferable in terms of defensive medicine. Clearly, however, these evaluations depend on context. If the context is that of a dental extraction, then value co-creation is not a problem, so a paternalistic relationship is fine. Contrarily, if the context is that of long-term liver disease, where the patient’s contribution to value co-creation is relevant, then a paternalistic relationship is not the proper solution </w:t>
      </w:r>
      <w:r w:rsidRPr="0097670D">
        <w:rPr>
          <w:sz w:val="22"/>
          <w:szCs w:val="22"/>
        </w:rPr>
        <w:fldChar w:fldCharType="begin" w:fldLock="1"/>
      </w:r>
      <w:r w:rsidRPr="0097670D">
        <w:rPr>
          <w:sz w:val="22"/>
          <w:szCs w:val="22"/>
        </w:rPr>
        <w:instrText>ADDIN CSL_CITATION {"citationItems":[{"id":"ITEM-1","itemData":{"DOI":"10.1108/JSTP-03-2014-0062","ISSN":"20556225","abstract":"Purpose – The purpose of this paper is to investigate value co-creation processes from the focal dyad of the patient and the physician and how their experiences in the consulting room affect the value that is created. Design/methodology/approach – Semi-structured interviews incorporating the critical incident technique (CIT) were conducted with 8 doctors and 24 outpatients in selected hospitals in Ghana, exploring their experiences during their encounter in the service delivery impacting on the value creating healthcare opportunities. An abductive and thematic analytical approach was used to identify 76 useable critical incidents that had clear consequences on both the outcome of the service and the service experiences of the patient. Findings – The study reveals three critical areas needed to support the value co-creation process and respective elements or activities to be considered during the service encounter. The critical areas comprise of the social context, beliefs and perceptions, and partnership between the focal dyad. The findings also suggests that patients do not consider “getting well” as the only value that they seek, but also the total experiences they go through in the consulting room. Also some physicians find it difficult to accept the recent changes in the patients’ behaviour and attitudes, resulting in knowledge conflict that adversely affects actors’ experiences in the consulting room. Research limitations/implications – The study considered only one of the many professionals in the healthcare delivery, which may affect the true value perceptions of the patient. Practical implications – The study provides service providers understanding of the processes that influence the patients’ experiences and value creation and the changing trends in the patient’s attitudes. The findings suggest a need for providers to take a holistic view of the service delivery and consider the critical areas, which could impact on the overall service outcomes. Originality/value – This study extends the research on CIT to exploring the value co-creating processes in the healthcare setting. This also provides clarity in understanding the interdependence of the two actors and how this is managed as a resource in the value co-creation process at the micro level.","author":[{"dropping-particle":"","family":"Osei-Frimpong","given":"Kofi","non-dropping-particle":"","parse-names":false,"suffix":""},{"dropping-particle":"","family":"Wilson","given":"Alan","non-dropping-particle":"","parse-names":false,"suffix":""},{"dropping-particle":"","family":"Owusu-Frimpong","given":"Nana","non-dropping-particle":"","parse-names":false,"suffix":""}],"container-title":"Journal of Service Theory and Practice","id":"ITEM-1","issue":"4","issued":{"date-parts":[["2015"]]},"page":"443-462","publisher":"Emerald Group Publishing Ltd.","title":"Service experiences and dyadic value co-creation in healthcare service delivery: A CIT approach","type":"article-journal","volume":"25"},"uris":["http://www.mendeley.com/documents/?uuid=750aff3f-5d7a-3b1e-a2a6-cb184581235d"]}],"mendeley":{"formattedCitation":"(Osei-Frimpong et al., 2015)","plainTextFormattedCitation":"(Osei-Frimpong et al., 2015)","previouslyFormattedCitation":"(Osei-Frimpong et al., 2015)"},"properties":{"noteIndex":0},"schema":"https://github.com/citation-style-language/schema/raw/master/csl-citation.json"}</w:instrText>
      </w:r>
      <w:r w:rsidRPr="0097670D">
        <w:rPr>
          <w:sz w:val="22"/>
          <w:szCs w:val="22"/>
        </w:rPr>
        <w:fldChar w:fldCharType="separate"/>
      </w:r>
      <w:r w:rsidRPr="0097670D">
        <w:rPr>
          <w:noProof/>
          <w:sz w:val="22"/>
          <w:szCs w:val="22"/>
        </w:rPr>
        <w:t xml:space="preserve">(Osei-Frimpong </w:t>
      </w:r>
      <w:r w:rsidRPr="0097670D">
        <w:rPr>
          <w:i/>
          <w:iCs/>
          <w:noProof/>
          <w:sz w:val="22"/>
          <w:szCs w:val="22"/>
        </w:rPr>
        <w:t>et al.</w:t>
      </w:r>
      <w:r w:rsidRPr="0097670D">
        <w:rPr>
          <w:noProof/>
          <w:sz w:val="22"/>
          <w:szCs w:val="22"/>
        </w:rPr>
        <w:t>, 2015)</w:t>
      </w:r>
      <w:r w:rsidRPr="0097670D">
        <w:rPr>
          <w:sz w:val="22"/>
          <w:szCs w:val="22"/>
        </w:rPr>
        <w:fldChar w:fldCharType="end"/>
      </w:r>
      <w:r w:rsidRPr="0097670D">
        <w:rPr>
          <w:sz w:val="22"/>
          <w:szCs w:val="22"/>
        </w:rPr>
        <w:t>.</w:t>
      </w:r>
    </w:p>
    <w:p w14:paraId="42FE7BE2" w14:textId="62E52205" w:rsidR="002147D8" w:rsidRPr="0097670D" w:rsidRDefault="00890C24">
      <w:pPr>
        <w:pStyle w:val="Corpotesto"/>
        <w:spacing w:before="0" w:line="480" w:lineRule="auto"/>
        <w:ind w:firstLine="284"/>
        <w:rPr>
          <w:sz w:val="22"/>
          <w:szCs w:val="22"/>
        </w:rPr>
      </w:pPr>
      <w:r w:rsidRPr="0097670D">
        <w:rPr>
          <w:sz w:val="22"/>
          <w:szCs w:val="22"/>
        </w:rPr>
        <w:t>Contrarily, collaborative and contractual archetypes, which, again, have opposite effects in terms of defensive medicine and value co-creation, are definitively in contrast with each other, even in terms of desired healthcare outcome, with the collaborative archetype being much better than the contractual one in terms of both defensive medicine and value co-creation.</w:t>
      </w:r>
    </w:p>
    <w:p w14:paraId="37E366F1" w14:textId="51F8267D" w:rsidR="002147D8" w:rsidRPr="0097670D" w:rsidRDefault="00890C24">
      <w:pPr>
        <w:pStyle w:val="Corpotesto"/>
        <w:spacing w:before="0" w:line="480" w:lineRule="auto"/>
        <w:ind w:firstLine="284"/>
        <w:rPr>
          <w:sz w:val="22"/>
          <w:szCs w:val="22"/>
        </w:rPr>
      </w:pPr>
      <w:r w:rsidRPr="0097670D">
        <w:rPr>
          <w:sz w:val="22"/>
          <w:szCs w:val="22"/>
        </w:rPr>
        <w:t>On the other hand, when comparing the contractual archetype with the paternalistic one, or informative with collaborative, one can conclude that, if the level of value co-creation remains the same within a pairing, the paternalistic and collaborative archetypes are preferred to the other two because they decrease the risk of defensive behaviour. The same line of reasoning can be applied when comparing the collaborative archetype with the paternalistic one or informative with contractual. The formers, of course, are preferred.</w:t>
      </w:r>
    </w:p>
    <w:p w14:paraId="29F0FD39" w14:textId="631E5C47" w:rsidR="002147D8" w:rsidRPr="0097670D" w:rsidRDefault="00890C24">
      <w:pPr>
        <w:pStyle w:val="Corpotesto"/>
        <w:spacing w:before="0" w:line="480" w:lineRule="auto"/>
        <w:ind w:firstLine="284"/>
        <w:rPr>
          <w:sz w:val="22"/>
          <w:szCs w:val="22"/>
        </w:rPr>
      </w:pPr>
      <w:r w:rsidRPr="0097670D">
        <w:rPr>
          <w:sz w:val="22"/>
          <w:szCs w:val="22"/>
        </w:rPr>
        <w:t xml:space="preserve">Although our premise and our findings tell us that each archetype is defined by a combination of relevant characteristics that influence the risk of defensive medicine, or the likelihood of value co-creation, in one direction or the other, we can also make some considerations related to the relevance of every single characteristic in this model. When looking at specific characteristics of the patient–physician relationship, the results presented in Table III show that there exist some different patterns in the way each characteristic may be relevant for one or more archetypes. In fact, if we look at these characteristics in a visual way (such as in the two-by-two matrix in Figure 1), we see that some of them appear along a column, others along a row, and others along a diagonal. What does this mean? If we look at trust, for example, it is an element in both the paternalistic and collaborative archetypes; that is, trust appears along the column ‘low risk of defensive medicine’. Thus, we can conclude that the collaborative and paternalistic archetypes </w:t>
      </w:r>
      <w:r w:rsidRPr="0097670D">
        <w:rPr>
          <w:sz w:val="22"/>
          <w:szCs w:val="22"/>
        </w:rPr>
        <w:lastRenderedPageBreak/>
        <w:t>are both good in terms of reducing the risk of defensive medicine, probably because they are both based on trust. So, by looking at the characteristics that each couple of archetypes have in common, we can identify which, among the others, is the most relevant characteristic of those archetypes in affecting either defensive medicine or value co-creation. With the same line of reasoning, we observe that trust appears as a disabling factor for defensive medicine but, at the same time, has no particular relevance for value co-creation activities. (Note that the paternalistic and contractual archetypes both lead to a low level of value co-creation, but the former is characterized by high trust and the latter by mistrust.)</w:t>
      </w:r>
    </w:p>
    <w:p w14:paraId="1D2F4D19" w14:textId="2AE4F9E1" w:rsidR="002147D8" w:rsidRPr="0097670D" w:rsidRDefault="00890C24">
      <w:pPr>
        <w:pStyle w:val="Corpotesto"/>
        <w:spacing w:before="0" w:line="480" w:lineRule="auto"/>
        <w:ind w:firstLine="284"/>
        <w:rPr>
          <w:sz w:val="22"/>
          <w:szCs w:val="22"/>
        </w:rPr>
      </w:pPr>
      <w:r w:rsidRPr="0097670D">
        <w:rPr>
          <w:sz w:val="22"/>
          <w:szCs w:val="22"/>
        </w:rPr>
        <w:t xml:space="preserve">In a collaborative relationship, mutual trust is a fundamental aspect in order to make the patient compliant with the therapy, changing their lifestyle, and being more responsible and more amenable to the care process, but the doctor also needs to know that their medical indications are respected. In this way, it is possible to achieve better health outcomes as confirmed by previous studies </w:t>
      </w:r>
      <w:r w:rsidRPr="0097670D">
        <w:rPr>
          <w:sz w:val="22"/>
          <w:szCs w:val="22"/>
        </w:rPr>
        <w:fldChar w:fldCharType="begin" w:fldLock="1"/>
      </w:r>
      <w:r w:rsidRPr="0097670D">
        <w:rPr>
          <w:sz w:val="22"/>
          <w:szCs w:val="22"/>
        </w:rPr>
        <w:instrText>ADDIN CSL_CITATION {"citationItems":[{"id":"ITEM-1","itemData":{"DOI":"10.1108/JSTP-03-2014-0062","ISSN":"20556225","abstract":"Purpose – The purpose of this paper is to investigate value co-creation processes from the focal dyad of the patient and the physician and how their experiences in the consulting room affect the value that is created. Design/methodology/approach – Semi-structured interviews incorporating the critical incident technique (CIT) were conducted with 8 doctors and 24 outpatients in selected hospitals in Ghana, exploring their experiences during their encounter in the service delivery impacting on the value creating healthcare opportunities. An abductive and thematic analytical approach was used to identify 76 useable critical incidents that had clear consequences on both the outcome of the service and the service experiences of the patient. Findings – The study reveals three critical areas needed to support the value co-creation process and respective elements or activities to be considered during the service encounter. The critical areas comprise of the social context, beliefs and perceptions, and partnership between the focal dyad. The findings also suggests that patients do not consider “getting well” as the only value that they seek, but also the total experiences they go through in the consulting room. Also some physicians find it difficult to accept the recent changes in the patients’ behaviour and attitudes, resulting in knowledge conflict that adversely affects actors’ experiences in the consulting room. Research limitations/implications – The study considered only one of the many professionals in the healthcare delivery, which may affect the true value perceptions of the patient. Practical implications – The study provides service providers understanding of the processes that influence the patients’ experiences and value creation and the changing trends in the patient’s attitudes. The findings suggest a need for providers to take a holistic view of the service delivery and consider the critical areas, which could impact on the overall service outcomes. Originality/value – This study extends the research on CIT to exploring the value co-creating processes in the healthcare setting. This also provides clarity in understanding the interdependence of the two actors and how this is managed as a resource in the value co-creation process at the micro level.","author":[{"dropping-particle":"","family":"Osei-Frimpong","given":"Kofi","non-dropping-particle":"","parse-names":false,"suffix":""},{"dropping-particle":"","family":"Wilson","given":"Alan","non-dropping-particle":"","parse-names":false,"suffix":""},{"dropping-particle":"","family":"Owusu-Frimpong","given":"Nana","non-dropping-particle":"","parse-names":false,"suffix":""}],"container-title":"Journal of Service Theory and Practice","id":"ITEM-1","issue":"4","issued":{"date-parts":[["2015"]]},"page":"443-462","publisher":"Emerald Group Publishing Ltd.","title":"Service experiences and dyadic value co-creation in healthcare service delivery: A CIT approach","type":"article-journal","volume":"25"},"uris":["http://www.mendeley.com/documents/?uuid=750aff3f-5d7a-3b1e-a2a6-cb184581235d"]},{"id":"ITEM-2","itemData":{"DOI":"10.1177/1470593106066781","ISSN":"14705931","abstract":"As one of its own foundational premises implies, the value of service-dominant (S-D) logic is necessarily in its open, collaborative effort. Thus, the authors invite and welcome both elaborative and critical viewpoints. Five recurring, contentious issues among collaborating scholars, as they attempt to understand the full nature and scope of S-D logic, are identified. These issues are clarified and refined, as is appropriate to this co-creation of a service-centric philosophy by the worldwide marketing community. © 2006, Sage Publications. All rights reserved.","author":[{"dropping-particle":"","family":"Vargo","given":"Stephen L.","non-dropping-particle":"","parse-names":false,"suffix":""},{"dropping-particle":"","family":"Lusch","given":"Robert F.","non-dropping-particle":"","parse-names":false,"suffix":""}],"container-title":"Marketing Theory","id":"ITEM-2","issue":"3","issued":{"date-parts":[["2006"]]},"page":"281-288","title":"Service-dominant logic: Reactions, reflections and refinements","type":"article-journal","volume":"6"},"uris":["http://www.mendeley.com/documents/?uuid=3e558aba-dee3-3312-8382-b5b7eb57bb28"]},{"id":"ITEM-3","itemData":{"DOI":"10.1016/j.pec.2006.05.002","ISSN":"07383991","abstract":"Objective: To consider the conceptualisation of patient involvement in treatment decision-making. Method: Conceptual review. Results: Current models and measures of patient involvement in treatment decision-making tend to focus on communication within consultations and/or on the patient's use of information to consider the selection of one treatment option from a well-defined set. These narrowly focused models and measures may obscure the relevance of patient involvement in decision-making for some health care contexts and limit investigations of the relationships between patient involvement in decision-making and health care outcomes. We outline a broader conceptual framework that reflects more of the complexity of the concept of involvement. It acknowledges that patients can be involved not only because of what they say and do to influence a decision, but also by virtue of what they think and feel about their roles, efforts and contributions to decision-making and their relationships with their clinicians. The framework encompasses the full range of activities associated with decision-making. Conclusion: The proposed conceptual framework may broaden the relevance of patient involvement in decision-making and encourage a more comprehensive characterisation that may facilitate more sophisticated investigations of the relationships between patient involvement in decision-making and health care outcomes. Practice implications: Clinicians who aspire to facilitate patient involvement in decision-making need to look beyond the way they discuss health care options with patients. They should also consider how they might enable patients to engage in the full range of decision-making activities and to develop a positive sense of involvement in these activities and with their clinicians. © 2006 Elsevier Ireland Ltd. All rights reserved.","author":[{"dropping-particle":"","family":"Entwistle","given":"Vikki A.","non-dropping-particle":"","parse-names":false,"suffix":""},{"dropping-particle":"","family":"Watt","given":"Ian S.","non-dropping-particle":"","parse-names":false,"suffix":""}],"container-title":"Patient Education and Counseling","id":"ITEM-3","issue":"3 SPEC. ISS.","issued":{"date-parts":[["2006"]]},"page":"268-278","publisher":"Elsevier Ireland Ltd","title":"Patient involvement in treatment decision-making: The case for a broader conceptual framework","type":"article-journal","volume":"63"},"uris":["http://www.mendeley.com/documents/?uuid=b72e8593-c4de-32bb-9786-14b4743c5d36"]}],"mendeley":{"formattedCitation":"(Entwistle and Watt, 2006; Osei-Frimpong et al., 2015; Vargo and Lusch, 2006)","plainTextFormattedCitation":"(Entwistle and Watt, 2006; Osei-Frimpong et al., 2015; Vargo and Lusch, 2006)","previouslyFormattedCitation":"(Entwistle and Watt, 2006; Osei-Frimpong et al., 2015; Vargo and Lusch, 2006)"},"properties":{"noteIndex":0},"schema":"https://github.com/citation-style-language/schema/raw/master/csl-citation.json"}</w:instrText>
      </w:r>
      <w:r w:rsidRPr="0097670D">
        <w:rPr>
          <w:sz w:val="22"/>
          <w:szCs w:val="22"/>
        </w:rPr>
        <w:fldChar w:fldCharType="separate"/>
      </w:r>
      <w:r w:rsidRPr="0097670D">
        <w:rPr>
          <w:noProof/>
          <w:sz w:val="22"/>
          <w:szCs w:val="22"/>
        </w:rPr>
        <w:t xml:space="preserve">(Entwistle and Watt, 2006; Osei-Frimpong </w:t>
      </w:r>
      <w:r w:rsidRPr="0097670D">
        <w:rPr>
          <w:i/>
          <w:iCs/>
          <w:noProof/>
          <w:sz w:val="22"/>
          <w:szCs w:val="22"/>
        </w:rPr>
        <w:t>et al.</w:t>
      </w:r>
      <w:r w:rsidRPr="0097670D">
        <w:rPr>
          <w:noProof/>
          <w:sz w:val="22"/>
          <w:szCs w:val="22"/>
        </w:rPr>
        <w:t>, 2015; Vargo and Lusch, 2006)</w:t>
      </w:r>
      <w:r w:rsidRPr="0097670D">
        <w:rPr>
          <w:sz w:val="22"/>
          <w:szCs w:val="22"/>
        </w:rPr>
        <w:fldChar w:fldCharType="end"/>
      </w:r>
      <w:r w:rsidRPr="0097670D">
        <w:rPr>
          <w:sz w:val="22"/>
          <w:szCs w:val="22"/>
        </w:rPr>
        <w:t>. However, the results show that trust, in some cases, is not as relevant as other characteristics.</w:t>
      </w:r>
    </w:p>
    <w:p w14:paraId="3AAD864F" w14:textId="2DB7B4B4" w:rsidR="002147D8" w:rsidRPr="0097670D" w:rsidRDefault="00890C24">
      <w:pPr>
        <w:pStyle w:val="Corpotesto"/>
        <w:spacing w:before="0" w:line="480" w:lineRule="auto"/>
        <w:ind w:firstLine="284"/>
        <w:rPr>
          <w:sz w:val="22"/>
          <w:szCs w:val="22"/>
        </w:rPr>
      </w:pPr>
      <w:r w:rsidRPr="0097670D">
        <w:rPr>
          <w:sz w:val="22"/>
          <w:szCs w:val="22"/>
        </w:rPr>
        <w:t>As an example, an informative clinical consultation has the goal to clarify and deepen understanding of some aspects of the patient’s health condition, but in this case, the relationship cannot be based on trust because, in almost all cases, the medical specialist meets the patient for the first time. Thus, the important thing is to pay a lot of attention to the communication, explaining all the viable therapies, trying to be clear, and providing all necessary information to satisfy the patient’s need to know. This will foster the patient’s willingness to be engaged in the care process, and they can contribute through feedback</w:t>
      </w:r>
      <w:r w:rsidR="000E1687" w:rsidRPr="0097670D">
        <w:rPr>
          <w:sz w:val="22"/>
          <w:szCs w:val="22"/>
        </w:rPr>
        <w:t xml:space="preserve"> and</w:t>
      </w:r>
      <w:r w:rsidRPr="0097670D">
        <w:rPr>
          <w:sz w:val="22"/>
          <w:szCs w:val="22"/>
        </w:rPr>
        <w:t xml:space="preserve"> ideas in order to have a better health outcome, thus co-creating value </w:t>
      </w:r>
      <w:r w:rsidRPr="0097670D">
        <w:rPr>
          <w:sz w:val="22"/>
          <w:szCs w:val="22"/>
        </w:rPr>
        <w:fldChar w:fldCharType="begin" w:fldLock="1"/>
      </w:r>
      <w:r w:rsidRPr="0097670D">
        <w:rPr>
          <w:sz w:val="22"/>
          <w:szCs w:val="22"/>
        </w:rPr>
        <w:instrText>ADDIN CSL_CITATION {"citationItems":[{"id":"ITEM-1","itemData":{"DOI":"10.1108/03090560610681014","ISSN":"03090566","abstract":"Purpose - Several trends such as improved access to health care information via the internet, the growth of self-help groups and expenditure on alternative medicine signals consumers are taking an active role in their own health management. Chronic illnesses such as diabetes and asthma require a significant amount of self-management and thus call for a collaborative patient-physician relationship. This study explores whether empowering patient-physician consultations measured through three patient empowerment dimensions (patient control, patient participation, physician support) enhance patients trust in and commitment to their physician. Design/methodology/ approach - A comprehensive mail survey of adults registered with one of four different chronic illness associations in Australia was conducted to collect the data. Findings - The structural equation modelling results show that patients are more trusting of and committed to physicians who adopt an empowering communication style with them. Research limitations/implications - This study focuses on the Australian healthcare context. Thus, future multinational studies should explore suitable strategies to empower healthcare consumers that build on the constraints placed by diverse healthcare systems. Practical implications - In a managed health care and cost cutting climate where patient trust is deteriorating, these findings suggest that empowering patients presents a means to improve the patient-physician relationship. Originality/value - Whilst numerous marketing scholars have researched the empowerment of staff, there is a shortage of studies that address the meaning and outcomes of consumer empowerment. This study proposes a unique communication based consumer empowerment construct which is shown to impact on consumer-service provider relationships. © Emerald Group Publishing Limited.","author":[{"dropping-particle":"","family":"Ouschan","given":"Robyn","non-dropping-particle":"","parse-names":false,"suffix":""},{"dropping-particle":"","family":"Sweeney","given":"Jillian","non-dropping-particle":"","parse-names":false,"suffix":""},{"dropping-particle":"","family":"Johnson","given":"Lester","non-dropping-particle":"","parse-names":false,"suffix":""}],"container-title":"European Journal of Marketing","id":"ITEM-1","issue":"9-10","issued":{"date-parts":[["2006"]]},"page":"1068-1086","title":"Customer empowerment and relationship outcomes in healthcare consultations","type":"article-journal","volume":"40"},"uris":["http://www.mendeley.com/documents/?uuid=54b14703-1e8a-41a8-a83e-9e63ed3d661a"]},{"id":"ITEM-2","itemData":{"DOI":"10.1016/j.pec.2006.05.002","ISSN":"07383991","abstract":"Objective: To consider the conceptualisation of patient involvement in treatment decision-making. Method: Conceptual review. Results: Current models and measures of patient involvement in treatment decision-making tend to focus on communication within consultations and/or on the patient's use of information to consider the selection of one treatment option from a well-defined set. These narrowly focused models and measures may obscure the relevance of patient involvement in decision-making for some health care contexts and limit investigations of the relationships between patient involvement in decision-making and health care outcomes. We outline a broader conceptual framework that reflects more of the complexity of the concept of involvement. It acknowledges that patients can be involved not only because of what they say and do to influence a decision, but also by virtue of what they think and feel about their roles, efforts and contributions to decision-making and their relationships with their clinicians. The framework encompasses the full range of activities associated with decision-making. Conclusion: The proposed conceptual framework may broaden the relevance of patient involvement in decision-making and encourage a more comprehensive characterisation that may facilitate more sophisticated investigations of the relationships between patient involvement in decision-making and health care outcomes. Practice implications: Clinicians who aspire to facilitate patient involvement in decision-making need to look beyond the way they discuss health care options with patients. They should also consider how they might enable patients to engage in the full range of decision-making activities and to develop a positive sense of involvement in these activities and with their clinicians. © 2006 Elsevier Ireland Ltd. All rights reserved.","author":[{"dropping-particle":"","family":"Entwistle","given":"Vikki A.","non-dropping-particle":"","parse-names":false,"suffix":""},{"dropping-particle":"","family":"Watt","given":"Ian S.","non-dropping-particle":"","parse-names":false,"suffix":""}],"container-title":"Patient Education and Counseling","id":"ITEM-2","issue":"3 SPEC. ISS.","issued":{"date-parts":[["2006"]]},"page":"268-278","publisher":"Elsevier Ireland Ltd","title":"Patient involvement in treatment decision-making: The case for a broader conceptual framework","type":"article-journal","volume":"63"},"uris":["http://www.mendeley.com/documents/?uuid=b72e8593-c4de-32bb-9786-14b4743c5d36"]},{"id":"ITEM-3","itemData":{"DOI":"10.1108/JSTP-03-2014-0062","ISSN":"20556225","abstract":"Purpose – The purpose of this paper is to investigate value co-creation processes from the focal dyad of the patient and the physician and how their experiences in the consulting room affect the value that is created. Design/methodology/approach – Semi-structured interviews incorporating the critical incident technique (CIT) were conducted with 8 doctors and 24 outpatients in selected hospitals in Ghana, exploring their experiences during their encounter in the service delivery impacting on the value creating healthcare opportunities. An abductive and thematic analytical approach was used to identify 76 useable critical incidents that had clear consequences on both the outcome of the service and the service experiences of the patient. Findings – The study reveals three critical areas needed to support the value co-creation process and respective elements or activities to be considered during the service encounter. The critical areas comprise of the social context, beliefs and perceptions, and partnership between the focal dyad. The findings also suggests that patients do not consider “getting well” as the only value that they seek, but also the total experiences they go through in the consulting room. Also some physicians find it difficult to accept the recent changes in the patients’ behaviour and attitudes, resulting in knowledge conflict that adversely affects actors’ experiences in the consulting room. Research limitations/implications – The study considered only one of the many professionals in the healthcare delivery, which may affect the true value perceptions of the patient. Practical implications – The study provides service providers understanding of the processes that influence the patients’ experiences and value creation and the changing trends in the patient’s attitudes. The findings suggest a need for providers to take a holistic view of the service delivery and consider the critical areas, which could impact on the overall service outcomes. Originality/value – This study extends the research on CIT to exploring the value co-creating processes in the healthcare setting. This also provides clarity in understanding the interdependence of the two actors and how this is managed as a resource in the value co-creation process at the micro level.","author":[{"dropping-particle":"","family":"Osei-Frimpong","given":"Kofi","non-dropping-particle":"","parse-names":false,"suffix":""},{"dropping-particle":"","family":"Wilson","given":"Alan","non-dropping-particle":"","parse-names":false,"suffix":""},{"dropping-particle":"","family":"Owusu-Frimpong","given":"Nana","non-dropping-particle":"","parse-names":false,"suffix":""}],"container-title":"Journal of Service Theory and Practice","id":"ITEM-3","issue":"4","issued":{"date-parts":[["2015"]]},"page":"443-462","publisher":"Emerald Group Publishing Ltd.","title":"Service experiences and dyadic value co-creation in healthcare service delivery: A CIT approach","type":"article-journal","volume":"25"},"uris":["http://www.mendeley.com/documents/?uuid=750aff3f-5d7a-3b1e-a2a6-cb184581235d"]}],"mendeley":{"formattedCitation":"(Entwistle and Watt, 2006; Osei-Frimpong et al., 2015; Ouschan et al., 2006)","plainTextFormattedCitation":"(Entwistle and Watt, 2006; Osei-Frimpong et al., 2015; Ouschan et al., 2006)","previouslyFormattedCitation":"(Entwistle and Watt, 2006; Osei-Frimpong et al., 2015; Ouschan et al., 2006)"},"properties":{"noteIndex":0},"schema":"https://github.com/citation-style-language/schema/raw/master/csl-citation.json"}</w:instrText>
      </w:r>
      <w:r w:rsidRPr="0097670D">
        <w:rPr>
          <w:sz w:val="22"/>
          <w:szCs w:val="22"/>
        </w:rPr>
        <w:fldChar w:fldCharType="separate"/>
      </w:r>
      <w:r w:rsidRPr="0097670D">
        <w:rPr>
          <w:noProof/>
          <w:sz w:val="22"/>
          <w:szCs w:val="22"/>
        </w:rPr>
        <w:t xml:space="preserve">(Entwistle and Watt, 2006; Osei-Frimpong </w:t>
      </w:r>
      <w:r w:rsidRPr="0097670D">
        <w:rPr>
          <w:i/>
          <w:iCs/>
          <w:noProof/>
          <w:sz w:val="22"/>
          <w:szCs w:val="22"/>
        </w:rPr>
        <w:t>et al.</w:t>
      </w:r>
      <w:r w:rsidRPr="0097670D">
        <w:rPr>
          <w:noProof/>
          <w:sz w:val="22"/>
          <w:szCs w:val="22"/>
        </w:rPr>
        <w:t xml:space="preserve">, 2015; Ouschan </w:t>
      </w:r>
      <w:r w:rsidRPr="0097670D">
        <w:rPr>
          <w:i/>
          <w:iCs/>
          <w:noProof/>
          <w:sz w:val="22"/>
          <w:szCs w:val="22"/>
        </w:rPr>
        <w:t>et al.</w:t>
      </w:r>
      <w:r w:rsidRPr="0097670D">
        <w:rPr>
          <w:noProof/>
          <w:sz w:val="22"/>
          <w:szCs w:val="22"/>
        </w:rPr>
        <w:t>, 2006)</w:t>
      </w:r>
      <w:r w:rsidRPr="0097670D">
        <w:rPr>
          <w:sz w:val="22"/>
          <w:szCs w:val="22"/>
        </w:rPr>
        <w:fldChar w:fldCharType="end"/>
      </w:r>
      <w:r w:rsidRPr="0097670D">
        <w:rPr>
          <w:sz w:val="22"/>
          <w:szCs w:val="22"/>
        </w:rPr>
        <w:t>. Moreover, trust could even be an enemy of value co-creation because it may lead to a paternalistic archetype. In fact, in this kind of relationship, the patient tends to blindly follow the medical instructions, without making any contribution to the process. For these reasons, trust has a different weight in terms of value co-creation, even being an obstacle in some cases, as we discussed</w:t>
      </w:r>
      <w:bookmarkStart w:id="19" w:name="_Hlk61532883"/>
      <w:r w:rsidRPr="0097670D">
        <w:rPr>
          <w:sz w:val="22"/>
          <w:szCs w:val="22"/>
        </w:rPr>
        <w:t xml:space="preserve">. </w:t>
      </w:r>
      <w:bookmarkStart w:id="20" w:name="_Hlk61485646"/>
      <w:bookmarkStart w:id="21" w:name="_Hlk61261066"/>
      <w:r w:rsidRPr="0097670D">
        <w:rPr>
          <w:sz w:val="22"/>
          <w:szCs w:val="22"/>
        </w:rPr>
        <w:t xml:space="preserve">It is worth mentioning that, in this study, we refer to the sentiment of trust as it is built over time between individuals. Thus, the patient has to know the doctor, and the patient’s trust in </w:t>
      </w:r>
      <w:r w:rsidRPr="0097670D">
        <w:rPr>
          <w:sz w:val="22"/>
          <w:szCs w:val="22"/>
        </w:rPr>
        <w:lastRenderedPageBreak/>
        <w:t>the doctor is due to their past professional contacts and relationship. We are not considering the sentiment of trust as that of a patient respecting the general figure of the medical doctor, regardless of whether they have ever met.</w:t>
      </w:r>
      <w:bookmarkEnd w:id="19"/>
      <w:bookmarkEnd w:id="20"/>
    </w:p>
    <w:p w14:paraId="2E065074" w14:textId="098BB490" w:rsidR="002147D8" w:rsidRPr="0097670D" w:rsidRDefault="00890C24">
      <w:pPr>
        <w:pStyle w:val="Corpotesto"/>
        <w:spacing w:before="0" w:line="480" w:lineRule="auto"/>
        <w:ind w:firstLine="284"/>
        <w:rPr>
          <w:sz w:val="22"/>
          <w:szCs w:val="22"/>
          <w:lang w:val="en-US"/>
        </w:rPr>
      </w:pPr>
      <w:bookmarkStart w:id="22" w:name="_Hlk66798283"/>
      <w:bookmarkStart w:id="23" w:name="_Hlk61532720"/>
      <w:bookmarkEnd w:id="21"/>
      <w:r w:rsidRPr="0097670D">
        <w:rPr>
          <w:sz w:val="22"/>
          <w:szCs w:val="22"/>
        </w:rPr>
        <w:t xml:space="preserve">Another important finding relates to the distinction between the person-specific and non-person-specific characteristics which make an archetype. Person-specific aspects are linked to personality traits; for example, physician empathy and patient curiosity, and their mixture of course influence the kind of relationship that exists between the doctor and the patient. However, some combinations of these characteristics can also influence the decision-making process, which may lead to different outcomes of a therapeutic path in terms of value co-created (or disrupted) or defensive behaviours. Instead, non-person-specific characteristics depend on the patient’s clinical situation and context. For example, in an emergency situation or in a critical health condition, the risk of lawsuits is higher than normal, or again, things could depend on the relationship length between the patient and the doctor. In this sense, the archetypes we described could be more frequent in particular clinical scenarios and, thus, are not dependent only on the personalities of the actors involved. </w:t>
      </w:r>
      <w:bookmarkEnd w:id="22"/>
      <w:r w:rsidRPr="0097670D">
        <w:rPr>
          <w:sz w:val="22"/>
          <w:szCs w:val="22"/>
          <w:lang w:val="en-US"/>
        </w:rPr>
        <w:t>For example, long-term illnesses like chronic diseases require constant interaction between the parties involved; consequently, collaborative relationships are likely more frequent in this type of clinical condition. On the other hand, contractual relationships are most frequent in cases with strict protocols, such as in emergency conditions, surgery, and work-related injuries. The paternalistic archetype is more adopted by general practitioners or family doctors for common diseases, but it is also present in cases of terminal conditions because the patient tends to prefer to be fully guided. Finally, informative relationships are typical for a specialist consultancy, especially at the first approach, where the communication between the parties plays a key role.</w:t>
      </w:r>
    </w:p>
    <w:p w14:paraId="43493E1E" w14:textId="7DFC1C30" w:rsidR="002147D8" w:rsidRPr="0097670D" w:rsidRDefault="00890C24">
      <w:pPr>
        <w:pStyle w:val="Corpotesto"/>
        <w:spacing w:before="0" w:line="480" w:lineRule="auto"/>
        <w:ind w:firstLine="284"/>
        <w:rPr>
          <w:sz w:val="22"/>
          <w:szCs w:val="22"/>
        </w:rPr>
      </w:pPr>
      <w:r w:rsidRPr="0097670D">
        <w:rPr>
          <w:sz w:val="22"/>
          <w:szCs w:val="22"/>
        </w:rPr>
        <w:t>In Figure 2 we provide a recap of typical clinical scenarios in which the discussed patient–physician archetypes are more likely to occur.</w:t>
      </w:r>
      <w:bookmarkEnd w:id="23"/>
    </w:p>
    <w:p w14:paraId="6BE0E5C7" w14:textId="77777777" w:rsidR="002147D8" w:rsidRPr="0097670D" w:rsidRDefault="002147D8">
      <w:pPr>
        <w:pStyle w:val="Corpotesto"/>
        <w:spacing w:before="0" w:line="480" w:lineRule="auto"/>
        <w:ind w:firstLine="284"/>
        <w:rPr>
          <w:sz w:val="22"/>
          <w:szCs w:val="22"/>
        </w:rPr>
      </w:pPr>
    </w:p>
    <w:p w14:paraId="2DDBFE2D" w14:textId="77777777" w:rsidR="002147D8" w:rsidRPr="0097670D" w:rsidRDefault="00890C24">
      <w:pPr>
        <w:pStyle w:val="Corpotesto"/>
        <w:keepNext/>
        <w:spacing w:before="0" w:line="480" w:lineRule="auto"/>
        <w:jc w:val="center"/>
      </w:pPr>
      <w:r w:rsidRPr="0097670D">
        <w:rPr>
          <w:noProof/>
        </w:rPr>
        <w:lastRenderedPageBreak/>
        <w:drawing>
          <wp:inline distT="0" distB="0" distL="0" distR="0" wp14:anchorId="581B645B" wp14:editId="2DE5D47F">
            <wp:extent cx="3861916" cy="2514600"/>
            <wp:effectExtent l="0" t="0" r="5715" b="0"/>
            <wp:docPr id="2" name="Immagine 2" descr="Immagine che contiene tav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descr="Immagine che contiene tavolo&#10;&#10;Descrizione generata automaticamente"/>
                    <pic:cNvPicPr/>
                  </pic:nvPicPr>
                  <pic:blipFill>
                    <a:blip r:embed="rId9"/>
                    <a:stretch>
                      <a:fillRect/>
                    </a:stretch>
                  </pic:blipFill>
                  <pic:spPr>
                    <a:xfrm>
                      <a:off x="0" y="0"/>
                      <a:ext cx="3897273" cy="2537622"/>
                    </a:xfrm>
                    <a:prstGeom prst="rect">
                      <a:avLst/>
                    </a:prstGeom>
                  </pic:spPr>
                </pic:pic>
              </a:graphicData>
            </a:graphic>
          </wp:inline>
        </w:drawing>
      </w:r>
    </w:p>
    <w:p w14:paraId="6BB2D9FD" w14:textId="3853528F" w:rsidR="002147D8" w:rsidRPr="0097670D" w:rsidRDefault="00890C24">
      <w:pPr>
        <w:pStyle w:val="Didascalia"/>
        <w:jc w:val="center"/>
        <w:rPr>
          <w:color w:val="auto"/>
          <w:sz w:val="22"/>
          <w:szCs w:val="22"/>
        </w:rPr>
      </w:pPr>
      <w:r w:rsidRPr="0097670D">
        <w:rPr>
          <w:color w:val="auto"/>
          <w:sz w:val="22"/>
          <w:szCs w:val="22"/>
        </w:rPr>
        <w:t>Figure 2 – Most Common Clinical Scenarios for Patient–Physician Archetypes</w:t>
      </w:r>
    </w:p>
    <w:p w14:paraId="4761B05A" w14:textId="77777777" w:rsidR="002147D8" w:rsidRPr="0097670D" w:rsidRDefault="002147D8">
      <w:pPr>
        <w:pStyle w:val="Corpotesto"/>
        <w:spacing w:before="0" w:line="480" w:lineRule="auto"/>
        <w:ind w:firstLine="284"/>
        <w:rPr>
          <w:sz w:val="22"/>
          <w:szCs w:val="22"/>
          <w:lang w:val="en-US"/>
        </w:rPr>
      </w:pPr>
    </w:p>
    <w:p w14:paraId="09B746D6" w14:textId="77777777" w:rsidR="002147D8" w:rsidRPr="0097670D" w:rsidRDefault="00890C24">
      <w:pPr>
        <w:pStyle w:val="Corpotesto"/>
        <w:spacing w:before="0" w:line="480" w:lineRule="auto"/>
        <w:rPr>
          <w:b/>
          <w:sz w:val="22"/>
          <w:szCs w:val="22"/>
          <w:lang w:val="en-US"/>
        </w:rPr>
      </w:pPr>
      <w:r w:rsidRPr="0097670D">
        <w:rPr>
          <w:b/>
          <w:sz w:val="22"/>
          <w:szCs w:val="22"/>
          <w:lang w:val="en-US"/>
        </w:rPr>
        <w:t>Conclusions</w:t>
      </w:r>
    </w:p>
    <w:p w14:paraId="572546EC" w14:textId="6F930280" w:rsidR="002147D8" w:rsidRPr="0097670D" w:rsidRDefault="00890C24">
      <w:pPr>
        <w:pStyle w:val="Corpotesto"/>
        <w:spacing w:before="0" w:line="480" w:lineRule="auto"/>
        <w:rPr>
          <w:i/>
          <w:sz w:val="22"/>
          <w:szCs w:val="22"/>
        </w:rPr>
      </w:pPr>
      <w:r w:rsidRPr="0097670D">
        <w:rPr>
          <w:i/>
          <w:sz w:val="22"/>
          <w:szCs w:val="22"/>
        </w:rPr>
        <w:t>Theoretical Contribution</w:t>
      </w:r>
    </w:p>
    <w:p w14:paraId="51F8E516" w14:textId="4FC53599" w:rsidR="002147D8" w:rsidRPr="0097670D" w:rsidRDefault="00890C24" w:rsidP="000E1687">
      <w:pPr>
        <w:pStyle w:val="Corpotesto"/>
        <w:spacing w:before="0" w:line="480" w:lineRule="auto"/>
        <w:rPr>
          <w:sz w:val="22"/>
          <w:szCs w:val="22"/>
        </w:rPr>
      </w:pPr>
      <w:r w:rsidRPr="0097670D">
        <w:rPr>
          <w:sz w:val="22"/>
          <w:szCs w:val="22"/>
        </w:rPr>
        <w:t xml:space="preserve">The theoretical contributions of this research can be described along the three streams of literature discussed in this paper. First of all, this work contributes to the literature on the patient–physician relationship. Since the seminal works from </w:t>
      </w:r>
      <w:r w:rsidRPr="0097670D">
        <w:rPr>
          <w:sz w:val="22"/>
          <w:szCs w:val="22"/>
        </w:rPr>
        <w:fldChar w:fldCharType="begin" w:fldLock="1"/>
      </w:r>
      <w:r w:rsidRPr="0097670D">
        <w:rPr>
          <w:sz w:val="22"/>
          <w:szCs w:val="22"/>
        </w:rPr>
        <w:instrText>ADDIN CSL_CITATION {"citationItems":[{"id":"ITEM-1","itemData":{"DOI":"10.2307/3560825","ISSN":"00930334","abstract":"FOUR MODELS FOR THE PATIENT-PHYSICIAN RELATIONSHIP IN MODERN WESTERN MEDICINE ARE EXAMINED. (1) THE ENGINEERING MODEL MAKES THE PHYSICIAN AN APPLIED SCIENTIST ATTEMPTING TO DIVORCE HIMSELF FROM CONSIDERATIONS OF VALUE PROVIDING SERVICES AT THE PATIENT'S REQUEST. (2) THE PRIESTLY MODEL SEES THE PHYSICIAN IN THE OPPOSITE ROLE. INSTEAD OF MAKING THE PHYSICIAN A PLUMBER, IT MAKES HIM A PATERNALISTIC AUTHORITY FIGURE. PHYSICIANS MAY, IN FACT, AS A GROUP HOLD UNIQUE MORAL VALUES NOT SHARED BY PATIENTS AS A GROUP OR INDIVIDUAL PATIENTS. (3) THE COLLEGIAL MODEL SEES THE PHYSICIAN AND PATIENT AS COLLEAGUES PURSUING A COMMON GOAL. THIS, HOWEVER, REQUIRES THE ASSUMPTION OF MUTUAL TRUST AND CONFIDENCE AND A COMMONALITY OF INTEREST WHICH IS FREQUENTLY UNJUSTIFIED. IT MAY ALSO IGNORE THE NEED FOR PUBLIC REGULATION OF MEDICAL PRACTICE. (4) THE CONTRACTUAL MODEL IS ONE OF TWO INDIVIDUALS OR GROUPS WITH MUTUAL OBLIGATIONS AND BENEFITS LIMITED IN SCOPE. IT RECOGNIZES A LACK OF SYMMETRY OF INTERESTS, SKILLS, AND POWER AND AVOIDS THE ABDICATION OF MORAL AUTHORITY ON THE PART OF THE PHYSICIAN OR THE PATIENT.","author":[{"dropping-particle":"","family":"Veatch","given":"Robert M.","non-dropping-particle":"","parse-names":false,"suffix":""}],"container-title":"The Hastings Center Report","id":"ITEM-1","issue":"3","issued":{"date-parts":[["1972"]]},"page":"5","title":"Models for Ethical Medicine in a Revolutionary Age","type":"article-journal","volume":"2"},"uris":["http://www.mendeley.com/documents/?uuid=57ce4f70-e534-4061-af44-a46ce52d55b2"]}],"mendeley":{"formattedCitation":"(Veatch, 1972)","manualFormatting":"Veatch (1972)","plainTextFormattedCitation":"(Veatch, 1972)","previouslyFormattedCitation":"(Veatch, 1972)"},"properties":{"noteIndex":0},"schema":"https://github.com/citation-style-language/schema/raw/master/csl-citation.json"}</w:instrText>
      </w:r>
      <w:r w:rsidRPr="0097670D">
        <w:rPr>
          <w:sz w:val="22"/>
          <w:szCs w:val="22"/>
        </w:rPr>
        <w:fldChar w:fldCharType="separate"/>
      </w:r>
      <w:r w:rsidRPr="0097670D">
        <w:rPr>
          <w:noProof/>
          <w:sz w:val="22"/>
          <w:szCs w:val="22"/>
        </w:rPr>
        <w:t>Veatch (1972)</w:t>
      </w:r>
      <w:r w:rsidRPr="0097670D">
        <w:rPr>
          <w:sz w:val="22"/>
          <w:szCs w:val="22"/>
        </w:rPr>
        <w:fldChar w:fldCharType="end"/>
      </w:r>
      <w:r w:rsidRPr="0097670D">
        <w:rPr>
          <w:sz w:val="22"/>
          <w:szCs w:val="22"/>
        </w:rPr>
        <w:t xml:space="preserve"> and </w:t>
      </w:r>
      <w:r w:rsidRPr="0097670D">
        <w:rPr>
          <w:sz w:val="22"/>
          <w:szCs w:val="22"/>
        </w:rPr>
        <w:fldChar w:fldCharType="begin" w:fldLock="1"/>
      </w:r>
      <w:r w:rsidR="00DD223D" w:rsidRPr="0097670D">
        <w:rPr>
          <w:sz w:val="22"/>
          <w:szCs w:val="22"/>
        </w:rPr>
        <w:instrText>ADDIN CSL_CITATION {"citationItems":[{"id":"ITEM-1","itemData":{"DOI":"10.1001/jama.1992.03480160079038","ISSN":"15383598","PMID":"1556799","author":[{"dropping-particle":"","family":"Emanuel","given":"Ezekiel J.","non-dropping-particle":"","parse-names":false,"suffix":""},{"dropping-particle":"","family":"Emanuel","given":"Linda L.","non-dropping-particle":"","parse-names":false,"suffix":""}],"container-title":"JAMA: The Journal of the American Medical Association","id":"ITEM-1","issue":"16","issued":{"date-parts":[["1992"]]},"page":"2221-2226","title":"Four Models of the Physician-Patient Relationship","type":"article-journal","volume":"267"},"uris":["http://www.mendeley.com/documents/?uuid=224dcae2-a5ac-4c60-9031-b187a1d172b7"]}],"mendeley":{"formattedCitation":"(Emanuel and Emanuel, 1992)","manualFormatting":"Emanuel and Emanuel (1992)","plainTextFormattedCitation":"(Emanuel and Emanuel, 1992)","previouslyFormattedCitation":"(Emanuel and Emanuel, 1992)"},"properties":{"noteIndex":0},"schema":"https://github.com/citation-style-language/schema/raw/master/csl-citation.json"}</w:instrText>
      </w:r>
      <w:r w:rsidRPr="0097670D">
        <w:rPr>
          <w:sz w:val="22"/>
          <w:szCs w:val="22"/>
        </w:rPr>
        <w:fldChar w:fldCharType="separate"/>
      </w:r>
      <w:r w:rsidRPr="0097670D">
        <w:rPr>
          <w:noProof/>
          <w:sz w:val="22"/>
          <w:szCs w:val="22"/>
        </w:rPr>
        <w:t>Emanuel and Emanuel (1992)</w:t>
      </w:r>
      <w:r w:rsidRPr="0097670D">
        <w:rPr>
          <w:sz w:val="22"/>
          <w:szCs w:val="22"/>
        </w:rPr>
        <w:fldChar w:fldCharType="end"/>
      </w:r>
      <w:r w:rsidRPr="0097670D">
        <w:rPr>
          <w:sz w:val="22"/>
          <w:szCs w:val="22"/>
        </w:rPr>
        <w:t xml:space="preserve">, the patient–physician relationship has been a topic studied largely because it is culturally sensitive and influenced not only by the development of ethic and normative standards </w:t>
      </w:r>
      <w:r w:rsidRPr="0097670D">
        <w:rPr>
          <w:sz w:val="22"/>
          <w:szCs w:val="22"/>
        </w:rPr>
        <w:fldChar w:fldCharType="begin" w:fldLock="1"/>
      </w:r>
      <w:r w:rsidRPr="0097670D">
        <w:rPr>
          <w:sz w:val="22"/>
          <w:szCs w:val="22"/>
        </w:rPr>
        <w:instrText>ADDIN CSL_CITATION {"citationItems":[{"id":"ITEM-1","itemData":{"author":[{"dropping-particle":"","family":"Hui EC.","given":"","non-dropping-particle":"","parse-names":false,"suffix":""}],"container-title":"Hong Kong Medical Journal","id":"ITEM-1","issue":"3","issued":{"date-parts":[["2005"]]},"page":"222-223","title":"The centrality of patient-physician relationship to medical professionalism: An ethical evaluation of some contemporary models","type":"article-journal","volume":"11"},"uris":["http://www.mendeley.com/documents/?uuid=84fcf381-2710-4374-b502-22e7b7914db1"]}],"mendeley":{"formattedCitation":"(Hui EC., 2005)","plainTextFormattedCitation":"(Hui EC., 2005)","previouslyFormattedCitation":"(Hui EC., 2005)"},"properties":{"noteIndex":0},"schema":"https://github.com/citation-style-language/schema/raw/master/csl-citation.json"}</w:instrText>
      </w:r>
      <w:r w:rsidRPr="0097670D">
        <w:rPr>
          <w:sz w:val="22"/>
          <w:szCs w:val="22"/>
        </w:rPr>
        <w:fldChar w:fldCharType="separate"/>
      </w:r>
      <w:r w:rsidRPr="0097670D">
        <w:rPr>
          <w:noProof/>
          <w:sz w:val="22"/>
          <w:szCs w:val="22"/>
        </w:rPr>
        <w:t>(Hui EC., 2005)</w:t>
      </w:r>
      <w:r w:rsidRPr="0097670D">
        <w:rPr>
          <w:sz w:val="22"/>
          <w:szCs w:val="22"/>
        </w:rPr>
        <w:fldChar w:fldCharType="end"/>
      </w:r>
      <w:r w:rsidRPr="0097670D">
        <w:rPr>
          <w:sz w:val="22"/>
          <w:szCs w:val="22"/>
        </w:rPr>
        <w:t xml:space="preserve"> but also by the development of technology and medical practices, such as evidence-based medicine </w:t>
      </w:r>
      <w:r w:rsidRPr="0097670D">
        <w:rPr>
          <w:sz w:val="22"/>
          <w:szCs w:val="22"/>
        </w:rPr>
        <w:fldChar w:fldCharType="begin" w:fldLock="1"/>
      </w:r>
      <w:r w:rsidRPr="0097670D">
        <w:rPr>
          <w:sz w:val="22"/>
          <w:szCs w:val="22"/>
        </w:rPr>
        <w:instrText>ADDIN CSL_CITATION {"citationItems":[{"id":"ITEM-1","itemData":{"DOI":"10.1016/B978-0-12-373932-2.00112-5","ISBN":"9780123739322","abstract":"This article explores the philosophical and ethical issues raised by evidence-based medicine (EBM). EBM is a process of searching and summarizing research evidence to guide the clinical care of patients. EBM developed as a method of identifying and integrating the best available current evidence about effectiveness, in order to avoid the use of harmful or ineffective interventions and to ensure the rapid uptake into practice of new and effective interventions. The impetus behind EBM is to provide a scientific basis for medical care, based on unbiased research methods - notably the randomized controlled trial - and to protect patients from harm, provide treatments that are safe and effective, and promote equity in access to effective treatments. EBM has been criticized for its overreliance upon the randomized controlled trial, for itself lacking a scientifically valid basis, and for ethical issues related to the production and use of research evidence.","author":[{"dropping-particle":"","family":"Evidence-Based Medicine Working Group","given":"","non-dropping-particle":"","parse-names":false,"suffix":""}],"container-title":"Journal of American Medical Association","id":"ITEM-1","issue":"17","issued":{"date-parts":[["1992"]]},"page":"2420-2425","title":"Evidence-based medicine. A new approach to teaching the practice of medicine.","type":"article-journal","volume":"268"},"uris":["http://www.mendeley.com/documents/?uuid=fcc00a24-4476-42fb-b9e2-8062a4b875a2"]}],"mendeley":{"formattedCitation":"(Evidence-Based Medicine Working Group, 1992)","plainTextFormattedCitation":"(Evidence-Based Medicine Working Group, 1992)","previouslyFormattedCitation":"(Evidence-Based Medicine Working Group, 1992)"},"properties":{"noteIndex":0},"schema":"https://github.com/citation-style-language/schema/raw/master/csl-citation.json"}</w:instrText>
      </w:r>
      <w:r w:rsidRPr="0097670D">
        <w:rPr>
          <w:sz w:val="22"/>
          <w:szCs w:val="22"/>
        </w:rPr>
        <w:fldChar w:fldCharType="separate"/>
      </w:r>
      <w:r w:rsidRPr="0097670D">
        <w:rPr>
          <w:noProof/>
          <w:sz w:val="22"/>
          <w:szCs w:val="22"/>
        </w:rPr>
        <w:t>(Evidence-Based Medicine Working Group, 1992)</w:t>
      </w:r>
      <w:r w:rsidRPr="0097670D">
        <w:rPr>
          <w:sz w:val="22"/>
          <w:szCs w:val="22"/>
        </w:rPr>
        <w:fldChar w:fldCharType="end"/>
      </w:r>
      <w:r w:rsidRPr="0097670D">
        <w:rPr>
          <w:sz w:val="22"/>
          <w:szCs w:val="22"/>
        </w:rPr>
        <w:t xml:space="preserve">, patient-centred care </w:t>
      </w:r>
      <w:r w:rsidRPr="0097670D">
        <w:rPr>
          <w:sz w:val="22"/>
          <w:szCs w:val="22"/>
        </w:rPr>
        <w:fldChar w:fldCharType="begin" w:fldLock="1"/>
      </w:r>
      <w:r w:rsidRPr="0097670D">
        <w:rPr>
          <w:sz w:val="22"/>
          <w:szCs w:val="22"/>
        </w:rPr>
        <w:instrText>ADDIN CSL_CITATION {"citationItems":[{"id":"ITEM-1","itemData":{"DOI":"10.1001/jama.275.2.152","ISSN":"00987484","PMID":"8531314","author":[{"dropping-particle":"","family":"Laine","given":"Christine","non-dropping-particle":"","parse-names":false,"suffix":""},{"dropping-particle":"","family":"Davidoff","given":"Frank","non-dropping-particle":"","parse-names":false,"suffix":""}],"container-title":"Journal of the American Medical Association","id":"ITEM-1","issue":"2","issued":{"date-parts":[["1996"]]},"page":"152-156","title":"Patient-centered medicine. A professional evolution","type":"article-journal","volume":"275"},"uris":["http://www.mendeley.com/documents/?uuid=5d81bc82-5409-443e-821f-d457b032c8dd"]}],"mendeley":{"formattedCitation":"(Laine and Davidoff, 1996)","plainTextFormattedCitation":"(Laine and Davidoff, 1996)","previouslyFormattedCitation":"(Laine and Davidoff, 1996)"},"properties":{"noteIndex":0},"schema":"https://github.com/citation-style-language/schema/raw/master/csl-citation.json"}</w:instrText>
      </w:r>
      <w:r w:rsidRPr="0097670D">
        <w:rPr>
          <w:sz w:val="22"/>
          <w:szCs w:val="22"/>
        </w:rPr>
        <w:fldChar w:fldCharType="separate"/>
      </w:r>
      <w:r w:rsidRPr="0097670D">
        <w:rPr>
          <w:noProof/>
          <w:sz w:val="22"/>
          <w:szCs w:val="22"/>
        </w:rPr>
        <w:t>(Laine and Davidoff, 1996)</w:t>
      </w:r>
      <w:r w:rsidRPr="0097670D">
        <w:rPr>
          <w:sz w:val="22"/>
          <w:szCs w:val="22"/>
        </w:rPr>
        <w:fldChar w:fldCharType="end"/>
      </w:r>
      <w:r w:rsidRPr="0097670D">
        <w:rPr>
          <w:sz w:val="22"/>
          <w:szCs w:val="22"/>
        </w:rPr>
        <w:t xml:space="preserve"> and others. </w:t>
      </w:r>
      <w:r w:rsidRPr="0097670D">
        <w:rPr>
          <w:sz w:val="22"/>
          <w:szCs w:val="22"/>
          <w:lang w:val="en-US"/>
        </w:rPr>
        <w:t xml:space="preserve">In order to capture this dynamic nature of the patient–physician relationship, academics used different perspectives and concepts to develop new patient–physician models </w:t>
      </w:r>
      <w:r w:rsidRPr="0097670D">
        <w:rPr>
          <w:sz w:val="22"/>
          <w:szCs w:val="22"/>
          <w:lang w:val="en-US"/>
        </w:rPr>
        <w:fldChar w:fldCharType="begin" w:fldLock="1"/>
      </w:r>
      <w:r w:rsidRPr="0097670D">
        <w:rPr>
          <w:sz w:val="22"/>
          <w:szCs w:val="22"/>
          <w:lang w:val="en-US"/>
        </w:rPr>
        <w:instrText>ADDIN CSL_CITATION {"citationItems":[{"id":"ITEM-1","itemData":{"DOI":"10.1016/j.pec.2006.05.002","ISSN":"07383991","abstract":"Objective: To consider the conceptualisation of patient involvement in treatment decision-making. Method: Conceptual review. Results: Current models and measures of patient involvement in treatment decision-making tend to focus on communication within consultations and/or on the patient's use of information to consider the selection of one treatment option from a well-defined set. These narrowly focused models and measures may obscure the relevance of patient involvement in decision-making for some health care contexts and limit investigations of the relationships between patient involvement in decision-making and health care outcomes. We outline a broader conceptual framework that reflects more of the complexity of the concept of involvement. It acknowledges that patients can be involved not only because of what they say and do to influence a decision, but also by virtue of what they think and feel about their roles, efforts and contributions to decision-making and their relationships with their clinicians. The framework encompasses the full range of activities associated with decision-making. Conclusion: The proposed conceptual framework may broaden the relevance of patient involvement in decision-making and encourage a more comprehensive characterisation that may facilitate more sophisticated investigations of the relationships between patient involvement in decision-making and health care outcomes. Practice implications: Clinicians who aspire to facilitate patient involvement in decision-making need to look beyond the way they discuss health care options with patients. They should also consider how they might enable patients to engage in the full range of decision-making activities and to develop a positive sense of involvement in these activities and with their clinicians. © 2006 Elsevier Ireland Ltd. All rights reserved.","author":[{"dropping-particle":"","family":"Entwistle","given":"Vikki A.","non-dropping-particle":"","parse-names":false,"suffix":""},{"dropping-particle":"","family":"Watt","given":"Ian S.","non-dropping-particle":"","parse-names":false,"suffix":""}],"container-title":"Patient Education and Counseling","id":"ITEM-1","issue":"3 SPEC. ISS.","issued":{"date-parts":[["2006"]]},"page":"268-278","publisher":"Elsevier Ireland Ltd","title":"Patient involvement in treatment decision-making: The case for a broader conceptual framework","type":"article-journal","volume":"63"},"uris":["http://www.mendeley.com/documents/?uuid=b72e8593-c4de-32bb-9786-14b4743c5d36"]},{"id":"ITEM-2","itemData":{"DOI":"10.1016/j.socscimed.2006.11.002","ISSN":"02779536","abstract":"A number of trends, pressures and policy shifts can be identified that are promoting greater patient involvement in health care delivery through consultations, treatments and continuing care. However, while the literature is growing fast on different methods of involvement, little attention has been given so far to the role which patients themselves wish to play, nor even of the conceptual meanings behind involvement or participation. This article reviews the current models of involvement in health care delivery as derived from studies of professional views of current and potential practice, prior to examining the empirical evidence from a large-scale qualitative study of the views and preferences of citizens, as patients, members of voluntary groups, or neither. Individual domiciliary interviews were carried out with 44 people recruited from GP practices in northern England. These respondents were then included in a second phase of 34 focus groups in 6 different localities in northern and southern England, of which 22 were with individuals unaffiliated to any voluntary/community groups, 6 related to local voluntary/community groups with specific interests in health or health care, and 6 related to groups without such specific interests. A final set of 12 workshops with the same samples helped to confirm emergent themes. The qualitative data enabled a taxonomy of patient-desired involvement to be derived, which is contrasted with professional-determined levels of involvement identified from the literature. Participation is seen as being co-determined by patients and professionals, and occurring only through the reciprocal relationships of dialogue and shared decision-making. Not everyone wanted to be involved and the extent to which involvement was desired depended on the contexts of type and seriousness of illness, various personal characteristics and patients' relationships with professionals. These levels are seen to provide basic building blocks for a more sophisticated understanding of involvement within and between these contexts for use by professionals, managers, policy-makers and researchers. © 2006 Elsevier Ltd. All rights reserved.","author":[{"dropping-particle":"","family":"Thompson","given":"Andrew G.H.","non-dropping-particle":"","parse-names":false,"suffix":""}],"container-title":"Social Science and Medicine","id":"ITEM-2","issue":"6","issued":{"date-parts":[["2007","3"]]},"page":"1297-1310","title":"The meaning of patient involvement and participation in health care consultations: A taxonomy","type":"article-journal","volume":"64"},"uris":["http://www.mendeley.com/documents/?uuid=55768e36-6215-38f8-b054-af96a41c14f1"]},{"id":"ITEM-3","itemData":{"DOI":"10.1177/1094670512442806","ISSN":"10946705","abstract":"This article explores in-depth what health care customers actually do when they cocreate value. Combining previously published research with data collected from depth interviews, field observation, and focus groups, the authors identify distinct styles of health care customer value cocreation practice. Importantly, the authors show how customers can contribute to their own value creation through their own (self) activities in managing their health care. Building on past work in service-dominant (S-D) logic, consumer culture theory and social practice theory, the authors identify \"roles,\" \"activities,\" and \"interactions\" that underlie customer cocreation of value in health care. The authors uncover five groupings of customer value cocreation practices yielding a typology of practice styles and link these to quality of life. The practice styles are \"team management,\" \"insular controlling,\" \"partnering,\" \"pragmatic adapting,\" and \"passive compliance.\" Two in particular, team management and partnering, should be encouraged by managers as they tend to be associated with higher quality of life. The authors provide a health care Customer Value Cocreation Practice Styles (CVCPS) typology. The usefulness of the typology is demonstrated by showing links to quality of life and its potential application to other health care settings. © The Author(s) 2012.","author":[{"dropping-particle":"","family":"McColl-Kennedy","given":"Janet R.","non-dropping-particle":"","parse-names":false,"suffix":""},{"dropping-particle":"","family":"Vargo","given":"Stephen L.","non-dropping-particle":"","parse-names":false,"suffix":""},{"dropping-particle":"","family":"Dagger","given":"Tracey S.","non-dropping-particle":"","parse-names":false,"suffix":""},{"dropping-particle":"","family":"Sweeney","given":"Jillian C.","non-dropping-particle":"","parse-names":false,"suffix":""},{"dropping-particle":"","family":"Kasteren","given":"Yasmin","non-dropping-particle":"van","parse-names":false,"suffix":""}],"container-title":"Journal of Service Research","id":"ITEM-3","issue":"4","issued":{"date-parts":[["2012","11"]]},"page":"370-389","title":"Health Care Customer Value Cocreation Practice Styles","type":"article-journal","volume":"15"},"uris":["http://www.mendeley.com/documents/?uuid=21604ebe-bf57-3f7f-b4ef-39273b5c26ba"]},{"id":"ITEM-4","itemData":{"DOI":"10.1016/j.socscimed.2013.07.026","ISSN":"02779536","abstract":"Over the past few decades, the concept of \"patient-centeredness\" has been intensively studied in health communication research on patient-physician interaction. Despite its popularity, this concept has often been criticized for lacking a unified definition and operationalized measurement. This article reviews how health communication research on patient-physician interaction has conceptualized and operationalized patient-centered communication based on four major theoretical perspectives in sociology (i.e., functionalism, conflict theory, utilitarianism, and social constructionism), and discusses the agenda for future research in this field. Each theory addresses different aspects of the patient-physician relationship and communication from different theoretical viewpoints. Patient-centeredness is a multifaceted construct with no single theory that can sufficiently define the whole concept. Different theoretical perspectives of patient-centered communication can be selectively adopted according to the context and nature of problems in the patient-physician relationship that a particular study aims to explore. The present study may provide a useful framework: it offers an overview of the differing models of patient-centered communication and the expected roles and goals in each model; it does so toward identifying a communication model that fits the patient and the context and toward theoretically reconstructing existing measures of patient-centered communication. Furthermore, although patient-centered communication has been defined mainly from the viewpoint of physician's behaviors aimed at achieving patient-centered care, patient competence is also required for patient-centered communication. This needs to be examined in current medical practice. © 2013 Elsevier Ltd.","author":[{"dropping-particle":"","family":"Ishikawa","given":"Hirono","non-dropping-particle":"","parse-names":false,"suffix":""},{"dropping-particle":"","family":"Hashimoto","given":"Hideki","non-dropping-particle":"","parse-names":false,"suffix":""},{"dropping-particle":"","family":"Kiuchi","given":"Takahiro","non-dropping-particle":"","parse-names":false,"suffix":""}],"container-title":"Social Science and Medicine","id":"ITEM-4","issued":{"date-parts":[["2013"]]},"page":"147-153","publisher":"Elsevier Ltd","title":"The evolving concept of \"patient-centeredness\" in patient-physician communication research","type":"article-journal","volume":"96"},"uris":["http://www.mendeley.com/documents/?uuid=82db362a-5e7d-4d09-87ce-358352222322"]},{"id":"ITEM-5","itemData":{"DOI":"10.1108/JSTP-03-2014-0062","ISSN":"20556225","abstract":"Purpose – The purpose of this paper is to investigate value co-creation processes from the focal dyad of the patient and the physician and how their experiences in the consulting room affect the value that is created. Design/methodology/approach – Semi-structured interviews incorporating the critical incident technique (CIT) were conducted with 8 doctors and 24 outpatients in selected hospitals in Ghana, exploring their experiences during their encounter in the service delivery impacting on the value creating healthcare opportunities. An abductive and thematic analytical approach was used to identify 76 useable critical incidents that had clear consequences on both the outcome of the service and the service experiences of the patient. Findings – The study reveals three critical areas needed to support the value co-creation process and respective elements or activities to be considered during the service encounter. The critical areas comprise of the social context, beliefs and perceptions, and partnership between the focal dyad. The findings also suggests that patients do not consider “getting well” as the only value that they seek, but also the total experiences they go through in the consulting room. Also some physicians find it difficult to accept the recent changes in the patients’ behaviour and attitudes, resulting in knowledge conflict that adversely affects actors’ experiences in the consulting room. Research limitations/implications – The study considered only one of the many professionals in the healthcare delivery, which may affect the true value perceptions of the patient. Practical implications – The study provides service providers understanding of the processes that influence the patients’ experiences and value creation and the changing trends in the patient’s attitudes. The findings suggest a need for providers to take a holistic view of the service delivery and consider the critical areas, which could impact on the overall service outcomes. Originality/value – This study extends the research on CIT to exploring the value co-creating processes in the healthcare setting. This also provides clarity in understanding the interdependence of the two actors and how this is managed as a resource in the value co-creation process at the micro level.","author":[{"dropping-particle":"","family":"Osei-Frimpong","given":"Kofi","non-dropping-particle":"","parse-names":false,"suffix":""},{"dropping-particle":"","family":"Wilson","given":"Alan","non-dropping-particle":"","parse-names":false,"suffix":""},{"dropping-particle":"","family":"Owusu-Frimpong","given":"Nana","non-dropping-particle":"","parse-names":false,"suffix":""}],"container-title":"Journal of Service Theory and Practice","id":"ITEM-5","issue":"4","issued":{"date-parts":[["2015"]]},"page":"443-462","publisher":"Emerald Group Publishing Ltd.","title":"Service experiences and dyadic value co-creation in healthcare service delivery: A CIT approach","type":"article-journal","volume":"25"},"uris":["http://www.mendeley.com/documents/?uuid=750aff3f-5d7a-3b1e-a2a6-cb184581235d"]}],"mendeley":{"formattedCitation":"(Entwistle and Watt, 2006; Ishikawa et al., 2013; McColl-Kennedy et al., 2012; Osei-Frimpong et al., 2015; Thompson, 2007)","plainTextFormattedCitation":"(Entwistle and Watt, 2006; Ishikawa et al., 2013; McColl-Kennedy et al., 2012; Osei-Frimpong et al., 2015; Thompson, 2007)","previouslyFormattedCitation":"(Entwistle and Watt, 2006; Ishikawa et al., 2013; McColl-Kennedy et al., 2012; Osei-Frimpong et al., 2015; Thompson, 2007)"},"properties":{"noteIndex":0},"schema":"https://github.com/citation-style-language/schema/raw/master/csl-citation.json"}</w:instrText>
      </w:r>
      <w:r w:rsidRPr="0097670D">
        <w:rPr>
          <w:sz w:val="22"/>
          <w:szCs w:val="22"/>
          <w:lang w:val="en-US"/>
        </w:rPr>
        <w:fldChar w:fldCharType="separate"/>
      </w:r>
      <w:r w:rsidRPr="0097670D">
        <w:rPr>
          <w:noProof/>
          <w:sz w:val="22"/>
          <w:szCs w:val="22"/>
          <w:lang w:val="en-US"/>
        </w:rPr>
        <w:t xml:space="preserve">(Entwistle and Watt, 2006; Ishikawa </w:t>
      </w:r>
      <w:r w:rsidRPr="0097670D">
        <w:rPr>
          <w:i/>
          <w:iCs/>
          <w:noProof/>
          <w:sz w:val="22"/>
          <w:szCs w:val="22"/>
          <w:lang w:val="en-US"/>
        </w:rPr>
        <w:t>et al.</w:t>
      </w:r>
      <w:r w:rsidRPr="0097670D">
        <w:rPr>
          <w:noProof/>
          <w:sz w:val="22"/>
          <w:szCs w:val="22"/>
          <w:lang w:val="en-US"/>
        </w:rPr>
        <w:t xml:space="preserve">, 2013; McColl-Kennedy </w:t>
      </w:r>
      <w:r w:rsidRPr="0097670D">
        <w:rPr>
          <w:i/>
          <w:iCs/>
          <w:noProof/>
          <w:sz w:val="22"/>
          <w:szCs w:val="22"/>
          <w:lang w:val="en-US"/>
        </w:rPr>
        <w:t>et al.</w:t>
      </w:r>
      <w:r w:rsidRPr="0097670D">
        <w:rPr>
          <w:noProof/>
          <w:sz w:val="22"/>
          <w:szCs w:val="22"/>
          <w:lang w:val="en-US"/>
        </w:rPr>
        <w:t xml:space="preserve">, 2012; Osei-Frimpong </w:t>
      </w:r>
      <w:r w:rsidRPr="0097670D">
        <w:rPr>
          <w:i/>
          <w:iCs/>
          <w:noProof/>
          <w:sz w:val="22"/>
          <w:szCs w:val="22"/>
          <w:lang w:val="en-US"/>
        </w:rPr>
        <w:t>et al.</w:t>
      </w:r>
      <w:r w:rsidRPr="0097670D">
        <w:rPr>
          <w:noProof/>
          <w:sz w:val="22"/>
          <w:szCs w:val="22"/>
          <w:lang w:val="en-US"/>
        </w:rPr>
        <w:t>, 2015; Thompson, 2007)</w:t>
      </w:r>
      <w:r w:rsidRPr="0097670D">
        <w:rPr>
          <w:sz w:val="22"/>
          <w:szCs w:val="22"/>
          <w:lang w:val="en-US"/>
        </w:rPr>
        <w:fldChar w:fldCharType="end"/>
      </w:r>
      <w:r w:rsidRPr="0097670D">
        <w:rPr>
          <w:sz w:val="22"/>
          <w:szCs w:val="22"/>
          <w:lang w:val="en-US"/>
        </w:rPr>
        <w:t xml:space="preserve">. We position our work within this literature, but we look at this relationship from a different perspective. </w:t>
      </w:r>
      <w:bookmarkStart w:id="24" w:name="_Hlk66789952"/>
      <w:r w:rsidRPr="0097670D">
        <w:rPr>
          <w:sz w:val="22"/>
          <w:szCs w:val="22"/>
          <w:lang w:val="en-US"/>
        </w:rPr>
        <w:t xml:space="preserve">We defined </w:t>
      </w:r>
      <w:r w:rsidRPr="0097670D">
        <w:rPr>
          <w:sz w:val="22"/>
          <w:szCs w:val="22"/>
        </w:rPr>
        <w:t xml:space="preserve">four archetypes of patient–physician relationships from the point of view of their effects on the likelihood of value co-creation and the risk of defensive medicine phenomena, as these two aspects are very relevant in healthcare management today </w:t>
      </w:r>
      <w:r w:rsidRPr="0097670D">
        <w:rPr>
          <w:sz w:val="22"/>
          <w:szCs w:val="22"/>
        </w:rPr>
        <w:fldChar w:fldCharType="begin" w:fldLock="1"/>
      </w:r>
      <w:r w:rsidRPr="0097670D">
        <w:rPr>
          <w:sz w:val="22"/>
          <w:szCs w:val="22"/>
        </w:rPr>
        <w:instrText>ADDIN CSL_CITATION {"citationItems":[{"id":"ITEM-1","itemData":{"DOI":"10.1016/j.jom.2016.10.001","ISSN":"02726963","abstract":"In services, which require significant customer participation to create value, customers who lack the knowledge, skills and motivation necessary to participate effectively can negatively impact service quality and cost outcomes. This paper develops a conceptual model to investigate the effectiveness of utilizing customer training and education (CTE) to improve customer readiness to provide effective behaviors in a professional service. The model was tested using survey data from patients diagnosed with diabetes who received CTE as part of their healthcare service. We found that customers who are taught why they have to perform the tasks, have higher levels of motivation to perform these tasks effectively. Further, as proposed by the customer readiness model, when their task performance is higher, they have improved health and lower healthcare costs.","author":[{"dropping-particle":"","family":"Damali","given":"Uzay","non-dropping-particle":"","parse-names":false,"suffix":""},{"dropping-particle":"","family":"Miller","given":"Janis L.","non-dropping-particle":"","parse-names":false,"suffix":""},{"dropping-particle":"","family":"Fredendall","given":"Lawrence D.","non-dropping-particle":"","parse-names":false,"suffix":""},{"dropping-particle":"","family":"Moore","given":"De Wayne","non-dropping-particle":"","parse-names":false,"suffix":""},{"dropping-particle":"","family":"Dye","given":"Cheryl J.","non-dropping-particle":"","parse-names":false,"suffix":""}],"container-title":"Journal of Operations Management","id":"ITEM-1","issued":{"date-parts":[["2016","11","1"]]},"page":"80-97","publisher":"Elsevier B.V.","title":"Co-creating value using customer training and education in a healthcare service design","type":"article-journal","volume":"47-48"},"uris":["http://www.mendeley.com/documents/?uuid=11d74e84-e4b0-3392-a886-2371c8774f4e"]},{"id":"ITEM-2","itemData":{"DOI":"10.2147/ieh.s93473","ISSN":"2324-5905","abstract":"Consumers value health and a sense of well-being. The health care system cannot supply these values, but only “products” such as hospitalization, ambulatory care, medica- tions, procedures, and preventative care. These components of health care represent neither the value within the system nor the desired final output. Nonetheless, the health care system has focused inordinately on the products, to the point of suggesting that they have intrinsic value. We link this situation to the concept of goods-dominant logic, which has dominated business and managerial thinking since the Industrial Revolution. We then explain why and how moving to service-dominant logic is essential for consumers and providers to better cocreate value from products which are not intrinsically valuable. The challenge of cocreating value is confounded by information asymmetry, and by the myriad factors in the health care ecosystem that contribute to or detract from health and well-being. A new lexicon, emanating from service-dominant logic, is suggested to facilitate the move away from a goods-dominant mindset.","author":[{"dropping-particle":"","family":"Joiner","given":"Keith","non-dropping-particle":"","parse-names":false,"suffix":""},{"dropping-particle":"","family":"Lusch","given":"Robert","non-dropping-particle":"","parse-names":false,"suffix":""}],"container-title":"Innovation and Entrepreneurship in Health","id":"ITEM-2","issued":{"date-parts":[["2016"]]},"page":"25","title":"Evolving to a new service-dominant logic for health care","type":"article-journal"},"uris":["http://www.mendeley.com/documents/?uuid=e445a5bd-08f6-4c02-a72f-82d550edbb5f"]},{"id":"ITEM-3","itemData":{"DOI":"10.12998/wjcc.v6.i11.447","ISSN":"2307-8960","abstract":"I WJCC|www.wjgnet.com July 16, 2017|Volume 5|Issue 7| MINIREVIEWS 258 New Zippi M, Hong W, Crispino P, Traversa G 264 Screening - old Pavlovic M, Berenji K, Bukurov M 270 Practical Nayak R ORIGINAL ARTICLE Retrospective Study 280 Feasibility Yamamiya A, Kitamura K, Ishii Y, Mitsui Y, Nomoto T, Yoshida H SYSTEMATIC REVIEWS 286 Diagnostic Kanzara T, Virk JS CASE REPORT 292 Post : Literature Pescatori L, Tropeano MP, Mancarella C, Prizio E, Santoro G, Domenicucci M 299 Rare Luongo M 303 Is ?","author":[{"dropping-particle":"","family":"Vento","given":"Sandro","non-dropping-particle":"","parse-names":false,"suffix":""},{"dropping-particle":"","family":"Cainelli","given":"Francesca","non-dropping-particle":"","parse-names":false,"suffix":""},{"dropping-particle":"","family":"Vallone","given":"Alfredo","non-dropping-particle":"","parse-names":false,"suffix":""}],"container-title":"World Journal of Clinical Cases","id":"ITEM-3","issue":"9","issued":{"date-parts":[["2018"]]},"page":"157-164","title":"Defensive medicine: It is time to finally slow down an epidemic","type":"article-journal","volume":"9"},"uris":["http://www.mendeley.com/documents/?uuid=6ddf2100-cc41-34aa-ace5-1fefbae79ea6"]}],"mendeley":{"formattedCitation":"(Damali et al., 2016; Joiner and Lusch, 2016; Vento et al., 2018)","plainTextFormattedCitation":"(Damali et al., 2016; Joiner and Lusch, 2016; Vento et al., 2018)","previouslyFormattedCitation":"(Damali et al., 2016; Joiner and Lusch, 2016; Vento et al., 2018)"},"properties":{"noteIndex":0},"schema":"https://github.com/citation-style-language/schema/raw/master/csl-citation.json"}</w:instrText>
      </w:r>
      <w:r w:rsidRPr="0097670D">
        <w:rPr>
          <w:sz w:val="22"/>
          <w:szCs w:val="22"/>
        </w:rPr>
        <w:fldChar w:fldCharType="separate"/>
      </w:r>
      <w:r w:rsidRPr="0097670D">
        <w:rPr>
          <w:noProof/>
          <w:sz w:val="22"/>
          <w:szCs w:val="22"/>
        </w:rPr>
        <w:t xml:space="preserve">(Damali </w:t>
      </w:r>
      <w:r w:rsidRPr="0097670D">
        <w:rPr>
          <w:i/>
          <w:iCs/>
          <w:noProof/>
          <w:sz w:val="22"/>
          <w:szCs w:val="22"/>
        </w:rPr>
        <w:t>et al.</w:t>
      </w:r>
      <w:r w:rsidRPr="0097670D">
        <w:rPr>
          <w:noProof/>
          <w:sz w:val="22"/>
          <w:szCs w:val="22"/>
        </w:rPr>
        <w:t xml:space="preserve">, 2016; Joiner and Lusch, 2016; Vento </w:t>
      </w:r>
      <w:r w:rsidRPr="0097670D">
        <w:rPr>
          <w:i/>
          <w:iCs/>
          <w:noProof/>
          <w:sz w:val="22"/>
          <w:szCs w:val="22"/>
        </w:rPr>
        <w:t>et al.</w:t>
      </w:r>
      <w:r w:rsidRPr="0097670D">
        <w:rPr>
          <w:noProof/>
          <w:sz w:val="22"/>
          <w:szCs w:val="22"/>
        </w:rPr>
        <w:t>, 2018)</w:t>
      </w:r>
      <w:r w:rsidRPr="0097670D">
        <w:rPr>
          <w:sz w:val="22"/>
          <w:szCs w:val="22"/>
        </w:rPr>
        <w:fldChar w:fldCharType="end"/>
      </w:r>
      <w:bookmarkEnd w:id="24"/>
      <w:r w:rsidRPr="0097670D">
        <w:rPr>
          <w:sz w:val="22"/>
          <w:szCs w:val="22"/>
        </w:rPr>
        <w:t xml:space="preserve">. Thanks to </w:t>
      </w:r>
      <w:r w:rsidRPr="0097670D">
        <w:rPr>
          <w:sz w:val="22"/>
          <w:szCs w:val="22"/>
        </w:rPr>
        <w:lastRenderedPageBreak/>
        <w:t xml:space="preserve">these two points of view, we were able to provide new insights into and reflections on patient–physician relationship archetypes and, in particular, their differences and an order of preference. Furthermore, </w:t>
      </w:r>
      <w:bookmarkStart w:id="25" w:name="_Hlk61362526"/>
      <w:r w:rsidRPr="0097670D">
        <w:rPr>
          <w:sz w:val="22"/>
          <w:szCs w:val="22"/>
        </w:rPr>
        <w:t>we provided not only a list of characterizing aspects for each relationship archetype but also empirically showed how they do not depend only on the personal behaviours of the parties involved. In fact, a specific medical condition or context, as shown in Figure 2, can strongly influence which patient–physician relationship is more likely to emerge.</w:t>
      </w:r>
    </w:p>
    <w:bookmarkEnd w:id="25"/>
    <w:p w14:paraId="54796105" w14:textId="5F1A4850" w:rsidR="002147D8" w:rsidRPr="0097670D" w:rsidRDefault="00890C24">
      <w:pPr>
        <w:pStyle w:val="Corpotesto"/>
        <w:spacing w:before="0" w:line="480" w:lineRule="auto"/>
        <w:ind w:firstLine="284"/>
        <w:rPr>
          <w:sz w:val="22"/>
          <w:szCs w:val="22"/>
        </w:rPr>
      </w:pPr>
      <w:r w:rsidRPr="0097670D">
        <w:rPr>
          <w:sz w:val="22"/>
          <w:szCs w:val="22"/>
        </w:rPr>
        <w:t xml:space="preserve">This paper also contributes to the value co-creation literature in more than one way. We answer the call for exploring both situational and personal factors as enablers of value co-creation practices in healthcare </w:t>
      </w:r>
      <w:r w:rsidRPr="0097670D">
        <w:rPr>
          <w:sz w:val="22"/>
          <w:szCs w:val="22"/>
        </w:rPr>
        <w:fldChar w:fldCharType="begin" w:fldLock="1"/>
      </w:r>
      <w:r w:rsidRPr="0097670D">
        <w:rPr>
          <w:sz w:val="22"/>
          <w:szCs w:val="22"/>
        </w:rPr>
        <w:instrText>ADDIN CSL_CITATION {"citationItems":[{"id":"ITEM-1","itemData":{"DOI":"10.1177/1094670512442806","ISSN":"10946705","abstract":"This article explores in-depth what health care customers actually do when they cocreate value. Combining previously published research with data collected from depth interviews, field observation, and focus groups, the authors identify distinct styles of health care customer value cocreation practice. Importantly, the authors show how customers can contribute to their own value creation through their own (self) activities in managing their health care. Building on past work in service-dominant (S-D) logic, consumer culture theory and social practice theory, the authors identify \"roles,\" \"activities,\" and \"interactions\" that underlie customer cocreation of value in health care. The authors uncover five groupings of customer value cocreation practices yielding a typology of practice styles and link these to quality of life. The practice styles are \"team management,\" \"insular controlling,\" \"partnering,\" \"pragmatic adapting,\" and \"passive compliance.\" Two in particular, team management and partnering, should be encouraged by managers as they tend to be associated with higher quality of life. The authors provide a health care Customer Value Cocreation Practice Styles (CVCPS) typology. The usefulness of the typology is demonstrated by showing links to quality of life and its potential application to other health care settings. © The Author(s) 2012.","author":[{"dropping-particle":"","family":"McColl-Kennedy","given":"Janet R.","non-dropping-particle":"","parse-names":false,"suffix":""},{"dropping-particle":"","family":"Vargo","given":"Stephen L.","non-dropping-particle":"","parse-names":false,"suffix":""},{"dropping-particle":"","family":"Dagger","given":"Tracey S.","non-dropping-particle":"","parse-names":false,"suffix":""},{"dropping-particle":"","family":"Sweeney","given":"Jillian C.","non-dropping-particle":"","parse-names":false,"suffix":""},{"dropping-particle":"","family":"Kasteren","given":"Yasmin","non-dropping-particle":"van","parse-names":false,"suffix":""}],"container-title":"Journal of Service Research","id":"ITEM-1","issue":"4","issued":{"date-parts":[["2012","11"]]},"page":"370-389","title":"Health Care Customer Value Cocreation Practice Styles","type":"article-journal","volume":"15"},"uris":["http://www.mendeley.com/documents/?uuid=21604ebe-bf57-3f7f-b4ef-39273b5c26ba"]}],"mendeley":{"formattedCitation":"(McColl-Kennedy et al., 2012)","plainTextFormattedCitation":"(McColl-Kennedy et al., 2012)","previouslyFormattedCitation":"(McColl-Kennedy et al., 2012)"},"properties":{"noteIndex":0},"schema":"https://github.com/citation-style-language/schema/raw/master/csl-citation.json"}</w:instrText>
      </w:r>
      <w:r w:rsidRPr="0097670D">
        <w:rPr>
          <w:sz w:val="22"/>
          <w:szCs w:val="22"/>
        </w:rPr>
        <w:fldChar w:fldCharType="separate"/>
      </w:r>
      <w:r w:rsidRPr="0097670D">
        <w:rPr>
          <w:noProof/>
          <w:sz w:val="22"/>
          <w:szCs w:val="22"/>
        </w:rPr>
        <w:t xml:space="preserve">(McColl-Kennedy </w:t>
      </w:r>
      <w:r w:rsidRPr="0097670D">
        <w:rPr>
          <w:i/>
          <w:iCs/>
          <w:noProof/>
          <w:sz w:val="22"/>
          <w:szCs w:val="22"/>
        </w:rPr>
        <w:t>et al.</w:t>
      </w:r>
      <w:r w:rsidRPr="0097670D">
        <w:rPr>
          <w:noProof/>
          <w:sz w:val="22"/>
          <w:szCs w:val="22"/>
        </w:rPr>
        <w:t>, 2012)</w:t>
      </w:r>
      <w:r w:rsidRPr="0097670D">
        <w:rPr>
          <w:sz w:val="22"/>
          <w:szCs w:val="22"/>
        </w:rPr>
        <w:fldChar w:fldCharType="end"/>
      </w:r>
      <w:r w:rsidR="00FB1CCF" w:rsidRPr="0097670D">
        <w:rPr>
          <w:sz w:val="22"/>
          <w:szCs w:val="22"/>
        </w:rPr>
        <w:t xml:space="preserve">. </w:t>
      </w:r>
      <w:r w:rsidRPr="0097670D">
        <w:rPr>
          <w:sz w:val="22"/>
          <w:szCs w:val="22"/>
        </w:rPr>
        <w:t>We describe the main characteristics and the most likely situational circumstances of the archetypes presented. For example, if physicians pay attention to dialogues and patients’ needs and are flexible on medical indications, they facilitate the value co-creation process. On the other hand, in emergency situations in which interactions are minimal due to time restrictions, the likelihood of co-creating value is very low. More generally speaking, we answer the call for further developmental work concerning the application of S-D logic to healthcare, specifically in understanding the barriers, facilitators, and supports required for value co-creation (</w:t>
      </w:r>
      <w:r w:rsidRPr="0097670D">
        <w:rPr>
          <w:sz w:val="22"/>
          <w:szCs w:val="22"/>
        </w:rPr>
        <w:fldChar w:fldCharType="begin" w:fldLock="1"/>
      </w:r>
      <w:r w:rsidRPr="0097670D">
        <w:rPr>
          <w:sz w:val="22"/>
          <w:szCs w:val="22"/>
        </w:rPr>
        <w:instrText>ADDIN CSL_CITATION {"citationItems":[{"id":"ITEM-1","itemData":{"DOI":"10.1080/14719037.2014.881539","ISSN":"14719045","abstract":"Abstract: Patient engagement has gained increasing prominence within academic literatures and policy discourse. With limited developments in practice, most extant academic contributions are conceptual, with initiatives in the National Health Service (NHS) concentrating at macro- rather than at micro-level. This may be one reason why the issue of ‘value co-creation’ has received limited attention within academic discussions of patient engagement or policy pronouncements. Drawing on emerging ideas in the services marketing and public management literatures, this article offers the first elucidation of the importance of studying ‘value co-creation’ as a basis for further empirical analysis of patient engagement in micro-level encounters.","author":[{"dropping-particle":"","family":"Hardyman","given":"Wendy","non-dropping-particle":"","parse-names":false,"suffix":""},{"dropping-particle":"","family":"Daunt","given":"Kate L.","non-dropping-particle":"","parse-names":false,"suffix":""},{"dropping-particle":"","family":"Kitchener","given":"Martin","non-dropping-particle":"","parse-names":false,"suffix":""}],"container-title":"Public Management Review","id":"ITEM-1","issue":"1","issued":{"date-parts":[["2015","1","2"]]},"page":"90-107","publisher":"Taylor and Francis Ltd.","title":"Value Co-Creation through Patient Engagement in Health Care: A micro-level approach and research agenda","type":"article-journal","volume":"17"},"uris":["http://www.mendeley.com/documents/?uuid=d6fe2bea-2bb0-399e-af74-6765353110d2"]}],"mendeley":{"formattedCitation":"(Hardyman et al., 2015)","manualFormatting":"Hardyman et al. 2015)","plainTextFormattedCitation":"(Hardyman et al., 2015)","previouslyFormattedCitation":"(Hardyman et al., 2015)"},"properties":{"noteIndex":0},"schema":"https://github.com/citation-style-language/schema/raw/master/csl-citation.json"}</w:instrText>
      </w:r>
      <w:r w:rsidRPr="0097670D">
        <w:rPr>
          <w:sz w:val="22"/>
          <w:szCs w:val="22"/>
        </w:rPr>
        <w:fldChar w:fldCharType="separate"/>
      </w:r>
      <w:r w:rsidRPr="0097670D">
        <w:rPr>
          <w:noProof/>
          <w:sz w:val="22"/>
          <w:szCs w:val="22"/>
        </w:rPr>
        <w:t xml:space="preserve">Hardyman </w:t>
      </w:r>
      <w:r w:rsidRPr="0097670D">
        <w:rPr>
          <w:i/>
          <w:iCs/>
          <w:noProof/>
          <w:sz w:val="22"/>
          <w:szCs w:val="22"/>
        </w:rPr>
        <w:t>et al.</w:t>
      </w:r>
      <w:r w:rsidRPr="0097670D">
        <w:rPr>
          <w:noProof/>
          <w:sz w:val="22"/>
          <w:szCs w:val="22"/>
        </w:rPr>
        <w:t xml:space="preserve"> 2015)</w:t>
      </w:r>
      <w:r w:rsidRPr="0097670D">
        <w:rPr>
          <w:sz w:val="22"/>
          <w:szCs w:val="22"/>
        </w:rPr>
        <w:fldChar w:fldCharType="end"/>
      </w:r>
      <w:r w:rsidRPr="0097670D">
        <w:rPr>
          <w:sz w:val="22"/>
          <w:szCs w:val="22"/>
        </w:rPr>
        <w:t xml:space="preserve">. Furthermore, most major studies on value co-creation in healthcare are about chronic diseases because patients and physicians can have more chances to create value together due to the time factor </w:t>
      </w:r>
      <w:r w:rsidRPr="0097670D">
        <w:rPr>
          <w:sz w:val="22"/>
          <w:szCs w:val="22"/>
        </w:rPr>
        <w:fldChar w:fldCharType="begin" w:fldLock="1"/>
      </w:r>
      <w:r w:rsidRPr="0097670D">
        <w:rPr>
          <w:sz w:val="22"/>
          <w:szCs w:val="22"/>
        </w:rPr>
        <w:instrText>ADDIN CSL_CITATION {"citationItems":[{"id":"ITEM-1","itemData":{"DOI":"10.1177/1094670515572128","ISSN":"15527379","abstract":"Transformative service research is particularly relevant in health care where the firm and customer can contribute to individual as well as societal well-being. This article explores customer value cocreation in health care, identifying a hierarchy of activities representing varying levels of customer effort from complying with basic requirements (less effort and easier tasks) to extensive decision making (more effort and more difficult tasks). We define customer Effort in Value Cocreation Activities (EVCA) as the degree of effort that customers exert to integrate resources, through a range of activities of varying levels of perceived difficulty. Our findings underscore the importance of viewing health care service as taking place within the customer’s service network that extends well beyond the customer-firm dyad to include other market-facing as well as public and private resources. Moreover, we demonstrate the transformative potential of customer EVCA linking customer EVCA to quality of life, satisfaction with service and behavioral intentions. We do so across three prevalent chronic diseases—cancer, heart disease, and diabetes. Our findings highlight how an integrated care model has benefits for both customers and providers and can enhance customer EVCA.","author":[{"dropping-particle":"","family":"Sweeney","given":"Jillian C.","non-dropping-particle":"","parse-names":false,"suffix":""},{"dropping-particle":"","family":"Danaher","given":"Tracey S.","non-dropping-particle":"","parse-names":false,"suffix":""},{"dropping-particle":"","family":"McColl-Kennedy","given":"Janet R.","non-dropping-particle":"","parse-names":false,"suffix":""}],"container-title":"Journal of Service Research","id":"ITEM-1","issue":"3","issued":{"date-parts":[["2015","8","14"]]},"page":"318-335","publisher":"SAGE Publications Inc.","title":"Customer Effort in Value Cocreation Activities: Improving Quality of Life and Behavioral Intentions of Health Care Customers","type":"article-journal","volume":"18"},"uris":["http://www.mendeley.com/documents/?uuid=f4575119-382b-39a5-a3dc-587d324e4cf7"]},{"id":"ITEM-2","itemData":{"DOI":"10.1016/j.jom.2016.10.001","ISSN":"02726963","abstract":"In services, which require significant customer participation to create value, customers who lack the knowledge, skills and motivation necessary to participate effectively can negatively impact service quality and cost outcomes. This paper develops a conceptual model to investigate the effectiveness of utilizing customer training and education (CTE) to improve customer readiness to provide effective behaviors in a professional service. The model was tested using survey data from patients diagnosed with diabetes who received CTE as part of their healthcare service. We found that customers who are taught why they have to perform the tasks, have higher levels of motivation to perform these tasks effectively. Further, as proposed by the customer readiness model, when their task performance is higher, they have improved health and lower healthcare costs.","author":[{"dropping-particle":"","family":"Damali","given":"Uzay","non-dropping-particle":"","parse-names":false,"suffix":""},{"dropping-particle":"","family":"Miller","given":"Janis L.","non-dropping-particle":"","parse-names":false,"suffix":""},{"dropping-particle":"","family":"Fredendall","given":"Lawrence D.","non-dropping-particle":"","parse-names":false,"suffix":""},{"dropping-particle":"","family":"Moore","given":"De Wayne","non-dropping-particle":"","parse-names":false,"suffix":""},{"dropping-particle":"","family":"Dye","given":"Cheryl J.","non-dropping-particle":"","parse-names":false,"suffix":""}],"container-title":"Journal of Operations Management","id":"ITEM-2","issued":{"date-parts":[["2016","11","1"]]},"page":"80-97","publisher":"Elsevier B.V.","title":"Co-creating value using customer training and education in a healthcare service design","type":"article-journal","volume":"47-48"},"uris":["http://www.mendeley.com/documents/?uuid=11d74e84-e4b0-3392-a886-2371c8774f4e"]}],"mendeley":{"formattedCitation":"(Damali et al., 2016; Sweeney et al., 2015)","plainTextFormattedCitation":"(Damali et al., 2016; Sweeney et al., 2015)","previouslyFormattedCitation":"(Damali et al., 2016; Sweeney et al., 2015)"},"properties":{"noteIndex":0},"schema":"https://github.com/citation-style-language/schema/raw/master/csl-citation.json"}</w:instrText>
      </w:r>
      <w:r w:rsidRPr="0097670D">
        <w:rPr>
          <w:sz w:val="22"/>
          <w:szCs w:val="22"/>
        </w:rPr>
        <w:fldChar w:fldCharType="separate"/>
      </w:r>
      <w:r w:rsidRPr="0097670D">
        <w:rPr>
          <w:noProof/>
          <w:sz w:val="22"/>
          <w:szCs w:val="22"/>
        </w:rPr>
        <w:t xml:space="preserve">(Damali </w:t>
      </w:r>
      <w:r w:rsidRPr="0097670D">
        <w:rPr>
          <w:i/>
          <w:iCs/>
          <w:noProof/>
          <w:sz w:val="22"/>
          <w:szCs w:val="22"/>
        </w:rPr>
        <w:t>et al.</w:t>
      </w:r>
      <w:r w:rsidRPr="0097670D">
        <w:rPr>
          <w:noProof/>
          <w:sz w:val="22"/>
          <w:szCs w:val="22"/>
        </w:rPr>
        <w:t xml:space="preserve">, 2016; Sweeney </w:t>
      </w:r>
      <w:r w:rsidRPr="0097670D">
        <w:rPr>
          <w:i/>
          <w:iCs/>
          <w:noProof/>
          <w:sz w:val="22"/>
          <w:szCs w:val="22"/>
        </w:rPr>
        <w:t>et al.</w:t>
      </w:r>
      <w:r w:rsidRPr="0097670D">
        <w:rPr>
          <w:noProof/>
          <w:sz w:val="22"/>
          <w:szCs w:val="22"/>
        </w:rPr>
        <w:t>, 2015)</w:t>
      </w:r>
      <w:r w:rsidRPr="0097670D">
        <w:rPr>
          <w:sz w:val="22"/>
          <w:szCs w:val="22"/>
        </w:rPr>
        <w:fldChar w:fldCharType="end"/>
      </w:r>
      <w:r w:rsidRPr="0097670D">
        <w:rPr>
          <w:sz w:val="22"/>
          <w:szCs w:val="22"/>
        </w:rPr>
        <w:t xml:space="preserve">. Instead, our work is not limited to this focus. We have also included in the study medical specialities that can be occasional, such as a medical specialist consultancy, with the aim to provide a more comprehensive and empirically informed model. In this way, we have demonstrated that it is also possible to co-create value in occasional encounters. Finally, as highlighted by </w:t>
      </w:r>
      <w:r w:rsidRPr="0097670D">
        <w:rPr>
          <w:sz w:val="22"/>
          <w:szCs w:val="22"/>
        </w:rPr>
        <w:fldChar w:fldCharType="begin" w:fldLock="1"/>
      </w:r>
      <w:r w:rsidRPr="0097670D">
        <w:rPr>
          <w:sz w:val="22"/>
          <w:szCs w:val="22"/>
        </w:rPr>
        <w:instrText>ADDIN CSL_CITATION {"citationItems":[{"id":"ITEM-1","itemData":{"DOI":"10.1007/s11747-012-0308-3","ISSN":"00920703","abstract":"Because extant literature on the service logic of marketing is dominated by a metaphorical view of value co-creation, the roles of both service providers and customers remain analytically unspecified, without a theoretically sound foundation for value creation or co-creation. This article analyzes value creation and co-creation in service by analytically defining the roles of the customer and the firm, as well as the scope, locus, and nature of value and value creation. Value creation refers to customers' creation of value-in-use; co-creation is a function of interaction. Both the firm's and the customer's actions can be categorized by spheres (provider, joint, customer), and their interactions are either direct or indirect, leading to different forms of value creation and co-creation. This conceptualization of value creation spheres extends knowledge about how value-in-use emerges and how value creation can be managed; it also emphasizes the pivotal role of direct interactions for value co-creation opportunities. © 2012 Academy of Marketing Science.","author":[{"dropping-particle":"","family":"Grönroos","given":"Christian","non-dropping-particle":"","parse-names":false,"suffix":""},{"dropping-particle":"","family":"Voima","given":"Päivi","non-dropping-particle":"","parse-names":false,"suffix":""}],"container-title":"Journal of the Academy of Marketing Science","id":"ITEM-1","issue":"2","issued":{"date-parts":[["2013"]]},"page":"133-150","title":"Critical service logic: Making sense of value creation and co-creation","type":"article-journal","volume":"41"},"uris":["http://www.mendeley.com/documents/?uuid=d5b3ccb6-ac3b-46cf-a0c6-75dd01790532"]}],"mendeley":{"formattedCitation":"(Grönroos and Voima, 2013)","manualFormatting":"Grönroos and Voima (2013)","plainTextFormattedCitation":"(Grönroos and Voima, 2013)","previouslyFormattedCitation":"(Grönroos and Voima, 2013)"},"properties":{"noteIndex":0},"schema":"https://github.com/citation-style-language/schema/raw/master/csl-citation.json"}</w:instrText>
      </w:r>
      <w:r w:rsidRPr="0097670D">
        <w:rPr>
          <w:sz w:val="22"/>
          <w:szCs w:val="22"/>
        </w:rPr>
        <w:fldChar w:fldCharType="separate"/>
      </w:r>
      <w:r w:rsidRPr="0097670D">
        <w:rPr>
          <w:noProof/>
          <w:sz w:val="22"/>
          <w:szCs w:val="22"/>
        </w:rPr>
        <w:t>Grönroos and Voima (2013)</w:t>
      </w:r>
      <w:r w:rsidRPr="0097670D">
        <w:rPr>
          <w:sz w:val="22"/>
          <w:szCs w:val="22"/>
        </w:rPr>
        <w:fldChar w:fldCharType="end"/>
      </w:r>
      <w:r w:rsidRPr="0097670D">
        <w:rPr>
          <w:sz w:val="22"/>
          <w:szCs w:val="22"/>
        </w:rPr>
        <w:t>, wrong or ineffective interactions may lead to value destruction during service delivery processes. In this paper, we were able to identify not only the combination of patient–physician characteristics that enable value co-creation and inhibit defensive medicine but also those that, in the opposite direction, lead to value destruction and defensive behaviour.</w:t>
      </w:r>
    </w:p>
    <w:p w14:paraId="4F8BE976" w14:textId="16682872" w:rsidR="002147D8" w:rsidRPr="0097670D" w:rsidRDefault="00890C24">
      <w:pPr>
        <w:pStyle w:val="Corpotesto"/>
        <w:spacing w:before="0" w:line="480" w:lineRule="auto"/>
        <w:ind w:firstLine="284"/>
        <w:rPr>
          <w:sz w:val="22"/>
          <w:szCs w:val="22"/>
          <w:lang w:val="en-US"/>
        </w:rPr>
      </w:pPr>
      <w:r w:rsidRPr="0097670D">
        <w:rPr>
          <w:sz w:val="22"/>
          <w:szCs w:val="22"/>
        </w:rPr>
        <w:lastRenderedPageBreak/>
        <w:t xml:space="preserve">The studies on defensive medicine agree on the difficulty to measure and prove defensive behaviours since they are defined by a physician’s subjective factors rather than objective ones </w:t>
      </w:r>
      <w:r w:rsidRPr="0097670D">
        <w:rPr>
          <w:sz w:val="22"/>
          <w:szCs w:val="22"/>
        </w:rPr>
        <w:fldChar w:fldCharType="begin" w:fldLock="1"/>
      </w:r>
      <w:r w:rsidRPr="0097670D">
        <w:rPr>
          <w:sz w:val="22"/>
          <w:szCs w:val="22"/>
        </w:rPr>
        <w:instrText>ADDIN CSL_CITATION {"citationItems":[{"id":"ITEM-1","itemData":{"DOI":"10.1007/s11606-010-1259-3","ISSN":"08848734","abstract":"The role of defensive medicine in driving up health care costs is hotly contended. Physicians and health policy experts in particular tend to have sharply divergent views on the subject. Physicians argue that defensive medicine is a significant driver of health care cost inflation. Policy analysts, on the other hand, observe that malpractice reform, by itself, will probably not do much to reduce costs. We argue that both answers are incomplete. Ultimately, malpractice reform is a necessary but insufficient component of medical cost containment. The evidence suggests that defensive medicine accounts for a small but non-negligible fraction of health care costs. Yet the traditional medical malpractice reforms that many physicians desire will not assuage the various pressures that lead providers to overprescribe and overtreat. These reforms may, nevertheless, be necessary to persuade physicians to accept necessary changes in their practice patterns as part of the larger changes to the health care payment and delivery systems that cost containment requires. © 2010 Society of General Internal Medicine.","author":[{"dropping-particle":"","family":"Hermer","given":"Laura D.","non-dropping-particle":"","parse-names":false,"suffix":""},{"dropping-particle":"","family":"Brody","given":"Howard","non-dropping-particle":"","parse-names":false,"suffix":""}],"container-title":"Journal of General Internal Medicine","id":"ITEM-1","issue":"5","issued":{"date-parts":[["2010"]]},"page":"470-473","title":"Defensive medicine, cost containment, and reform","type":"article-journal","volume":"25"},"uris":["http://www.mendeley.com/documents/?uuid=b22512db-20a0-4a96-98c3-17f533adab8f"]},{"id":"ITEM-2","itemData":{"DOI":"10.1177/1355819617707224","ISSN":"17581060","abstract":"Objective: To identify the prevalence of the practice of defensive medicine among Italian hospital physicians, its costs and the reasons for practising defensive medicine and possible solutions to reduce the practice of defensive medicine. Methods: Cross-sectional web survey. Main outcome measures: Number of physicians reporting having engaged in any defensive medicine behaviour in the previous year. Results: A total of 1313 physicians completed the survey. Ninety-five per cent believed that defensive medicine would increase in the near future. The practice of defensive medicine accounted for approximately 10% of total annual Italian national health expenditure. Conclusions: Defensive medicine is a significant factor in health care costs without adding any benefit to patients. The economic burden of defensive medicine on health care systems should provide a substantial stimulus for a prompt review of this situation in a time of economic crisis. Malpractice reform, together with a systematic use of evidence-based clinical guidelines, is likely to be the most effective way to reduce defensive medicine.","author":[{"dropping-particle":"","family":"Panella","given":"Massimiliano","non-dropping-particle":"","parse-names":false,"suffix":""},{"dropping-particle":"","family":"Rinaldi","given":"Carmela","non-dropping-particle":"","parse-names":false,"suffix":""},{"dropping-particle":"","family":"Leigheb","given":"Fabrizio","non-dropping-particle":"","parse-names":false,"suffix":""},{"dropping-particle":"","family":"Knesse","given":"Sanita","non-dropping-particle":"","parse-names":false,"suffix":""},{"dropping-particle":"","family":"Donnarumma","given":"Chiara","non-dropping-particle":"","parse-names":false,"suffix":""},{"dropping-particle":"","family":"Kul","given":"Seval","non-dropping-particle":"","parse-names":false,"suffix":""},{"dropping-particle":"","family":"Vanhaecht","given":"Kris","non-dropping-particle":"","parse-names":false,"suffix":""},{"dropping-particle":"","family":"Stanislao","given":"Francesco","non-dropping-particle":"Di","parse-names":false,"suffix":""}],"container-title":"Journal of Health Services Research and Policy","id":"ITEM-2","issue":"4","issued":{"date-parts":[["2017"]]},"page":"211-217","title":"Prevalence and costs of defensive medicine: A national survey of Italian physicians","type":"article-journal","volume":"22"},"uris":["http://www.mendeley.com/documents/?uuid=1fe83151-3bd5-48b2-a14d-913eda340123"]},{"id":"ITEM-3","itemData":{"DOI":"10.1007/s13304-015-0338-8","ISSN":"20383312","abstract":"Increased knowledge in disease causes and progression, along with technological and technical advancements in their diagnosis and treatment, have led to increased expectations from physicians by patients and their relatives. The condition of “second victim” is known to affect caregivers that commit an error, and seriously impairs private life and subsequent practice. Besides, a condition has been described, the clinical-judicial syndrome, affecting caregivers at any moment during a medical litigation. In this scenario, physicians have started to practice “defensive medicine”, aimed at protect themselves from liability rather than actually advancing care of patients. This paper represents the first review on defensive medicine with specific focus on surgery in an Italian setting. We reviewed the literature on the topic, with particular focus on surgeons and Italian current status, and provide the readers with a snapshot on these relevant issues, proposing strategies to prevent and reduce the practice of defensive medicine, and to support patients and physicians suffering from medical errors.","author":[{"dropping-particle":"","family":"Pellino","given":"Italia Maria","non-dropping-particle":"","parse-names":false,"suffix":""},{"dropping-particle":"","family":"Pellino","given":"Gianluca","non-dropping-particle":"","parse-names":false,"suffix":""}],"container-title":"Updates in Surgery","id":"ITEM-3","issue":"4","issued":{"date-parts":[["2015"]]},"page":"331-337","publisher":"Springer Milan","title":"Consequences of defensive medicine, second victims, and clinical-judicial syndrome on surgeons’ medical practice and on health service","type":"article-journal","volume":"67"},"uris":["http://www.mendeley.com/documents/?uuid=4f844502-e2c7-46ad-9d60-ce22bb6c0af6"]},{"id":"ITEM-4","itemData":{"</w:instrText>
      </w:r>
      <w:r w:rsidRPr="0097670D">
        <w:rPr>
          <w:sz w:val="22"/>
          <w:szCs w:val="22"/>
          <w:lang w:val="it-IT"/>
        </w:rPr>
        <w:instrText>DOI":"10.18662/lumproc.rsacvp2017.82","author":[{"dropping-particle":"","family":"Tinica","given":"G.","non-dropping-particle":"","parse-names":false,"suffix":""},{"dropping-particle":"","family":"Tomaziu-Todosia","given":"M.","non-dropping-particle":"","parse-names":false,"suffix":""},{"dropping-particle":"","family":"Tomaziu Todosia, G.-C. Christol","given":"R.O.","non-dropping-particle":"","parse-names":false,"suffix":""},{"dropping-particle":"","family":"Bulgariu-Iliescu","given":"D.","non-dropping-particle":"","parse-names":false,"suffix":""},{"dropping-particle":"","family":"Furnica","given":"C.","non-dropping-particle":"","parse-names":false,"suffix":""}],"container-title":"Rethinking Social Action. Core Values in Practice","id":"ITEM-4","issued":{"date-parts":[["2017","12","14"]]},"page":"898-910","title":"Defensive Medicine: Myths and Realities","type":"paper-conference","volume":"1"},"uris":["http://www.mendeley.com/documents/?uuid=0e14e71d-efc8-3a0c-b7ee-0de76a55459a"]}],"mendeley":{"formattedCitation":"(Hermer and Brody, 2010; Panella et al., 2017; Pellino and Pellino, 2015; Tinica et al., 2017)","plainTextFormattedCitation":"(Hermer and Brody, 2010; Panella et al., 2017; Pellino and Pellino, 2015; Tinica et al., 2017)","previouslyFormattedCitation":"(Hermer and Brody, 2010; Panella et al., 2017; Pellino and Pellino, 2015; Tinica et al., 2017)"},"properties":{"noteIndex":0},"schema":"https://github.com/citation-style-language/schema/raw/master/csl-citation.json"}</w:instrText>
      </w:r>
      <w:r w:rsidRPr="0097670D">
        <w:rPr>
          <w:sz w:val="22"/>
          <w:szCs w:val="22"/>
        </w:rPr>
        <w:fldChar w:fldCharType="separate"/>
      </w:r>
      <w:r w:rsidRPr="0097670D">
        <w:rPr>
          <w:noProof/>
          <w:sz w:val="22"/>
          <w:szCs w:val="22"/>
          <w:lang w:val="it-IT"/>
        </w:rPr>
        <w:t xml:space="preserve">(Hermer and Brody, 2010; Panella </w:t>
      </w:r>
      <w:r w:rsidRPr="0097670D">
        <w:rPr>
          <w:i/>
          <w:iCs/>
          <w:noProof/>
          <w:sz w:val="22"/>
          <w:szCs w:val="22"/>
          <w:lang w:val="it-IT"/>
        </w:rPr>
        <w:t>et al.</w:t>
      </w:r>
      <w:r w:rsidRPr="0097670D">
        <w:rPr>
          <w:noProof/>
          <w:sz w:val="22"/>
          <w:szCs w:val="22"/>
          <w:lang w:val="it-IT"/>
        </w:rPr>
        <w:t xml:space="preserve">, 2017; Pellino and Pellino, 2015; Tinica </w:t>
      </w:r>
      <w:r w:rsidRPr="0097670D">
        <w:rPr>
          <w:i/>
          <w:iCs/>
          <w:noProof/>
          <w:sz w:val="22"/>
          <w:szCs w:val="22"/>
          <w:lang w:val="it-IT"/>
        </w:rPr>
        <w:t>et al.</w:t>
      </w:r>
      <w:r w:rsidRPr="0097670D">
        <w:rPr>
          <w:noProof/>
          <w:sz w:val="22"/>
          <w:szCs w:val="22"/>
          <w:lang w:val="it-IT"/>
        </w:rPr>
        <w:t>, 2017)</w:t>
      </w:r>
      <w:r w:rsidRPr="0097670D">
        <w:rPr>
          <w:sz w:val="22"/>
          <w:szCs w:val="22"/>
        </w:rPr>
        <w:fldChar w:fldCharType="end"/>
      </w:r>
      <w:r w:rsidRPr="0097670D">
        <w:rPr>
          <w:sz w:val="22"/>
          <w:szCs w:val="22"/>
          <w:lang w:val="it-IT"/>
        </w:rPr>
        <w:t xml:space="preserve">. </w:t>
      </w:r>
      <w:r w:rsidRPr="0097670D">
        <w:rPr>
          <w:sz w:val="22"/>
          <w:szCs w:val="22"/>
          <w:lang w:val="en-US"/>
        </w:rPr>
        <w:t xml:space="preserve">In fact, clinical decisions are influenced not only by liability-related motivators but also by physicians’ general desire to meet patients’ expectations and avoid conflict </w:t>
      </w:r>
      <w:r w:rsidRPr="0097670D">
        <w:rPr>
          <w:sz w:val="22"/>
          <w:szCs w:val="22"/>
          <w:lang w:val="en-US"/>
        </w:rPr>
        <w:fldChar w:fldCharType="begin" w:fldLock="1"/>
      </w:r>
      <w:r w:rsidRPr="0097670D">
        <w:rPr>
          <w:sz w:val="22"/>
          <w:szCs w:val="22"/>
          <w:lang w:val="en-US"/>
        </w:rPr>
        <w:instrText>ADDIN CSL_CITATION {"citationItems":[{"id":"ITEM-1","itemData":{"DOI":"10.1001/jama.293.21.2609","ISSN":"00987484","abstract":"Context How often physicians alter their clinical behavior because of the threat of malpractice liability, termed defensive medicine, and the consequences of those changes, are central questions in the ongoing medical malpractice reform debate. Objective To study the prevalence and characteristics of defensive medicine among physicians practicing in high-liability specialties during a period of substantial instability in the malpractice environment. Design, Setting, and Participants Mail survey of physicians in 6 specialties at high risk of litigation (emergency medicine, general surgery, orthopedic surgery, neurosurgery, obstetrics/gynecology, and radiology) in Pennsylvania in May 2003. Main Outcome Measures Number of physicians in each specialty reporting defensive medicine or changes in scope of practice and characteristics of defensive medicine (assurance and avoidance behavior). Results A total of 824 physicians (65%) completed the survey. Nearly all (93%) reported practicing defensive medicine. \"Assurance behavior\" such as ordering tests, performing diagnostic procedures, and referring patients for consultation, was very common (92%). Among practitioners of defensive medicine who detailed their most recent defensive act, 43% reported using imaging technology in clinically unnecessary circumstances. Avoidance of procedures and patients that were perceived to elevate the probability of litigation was also widespread. Forty-two percent of respondents reported that they had taken steps to restrict their practice in the previous 3 years, including eliminating procedures prone to complications, such as trauma surgery, and avoiding patients who had complex medical problems or were perceived as litigious. Defensive practice correlated strongly with respondents' lack of confidence in their liability insurance and perceived burden of insurance premiums. Conclusion Defensive medicine is highly prevalent among physicians in Pennsylvania who pay the most for liability insurance, with potentially serious implications for cost, access, and both technical and interpersonal quality of care.","author":[{"dropping-particle":"","family":"Studdert","given":"David M.","non-dropping-particle":"","parse-names":false,"suffix":""},{"dropping-particle":"","family":"Mello","given":"Michelle M.","non-dropping-particle":"","parse-names":false,"suffix":""},{"dropping-particle":"","family":"Sage","given":"William M.","non-dropping-particle":"","parse-names":false,"suffix":""},{"dropping-particle":"","family":"DesRoches","given":"Catherine M.","non-dropping-particle":"","parse-names":false,"suffix":""},{"dropping-particle":"","family":"Peugh","given":"Jordon","non-dropping-particle":"","parse-names":false,"suffix":""},{"dropping-particle":"","family":"Zapert","given":"Kinga","non-dropping-particle":"","parse-names":false,"suffix":""},{"dropping-particle":"","family":"Brennan","given":"Troyen A.","non-dropping-particle":"","parse-names":false,"suffix":""}],"container-title":"Journal of the American Medical Association","id":"ITEM-1","issue":"21","issued":{"date-parts":[["2005"]]},"page":"2609-2617","title":"Defensive medicine among high-risk specialist physicians in a volatile malpractice environment","type":"article-journal","volume":"293"},"uris":["http://www.mendeley.com/documents/?uuid=4c4e5e25-4a8c-3a94-a442-3a30fea3e173"]}],"mendeley":{"formattedCitation":"(Studdert et al., 2005)","plainTextFormattedCitation":"(Studdert et al., 2005)","previouslyFormattedCitation":"(Studdert et al., 2005)"},"properties":{"noteIndex":0},"schema":"https://github.com/citation-style-language/schema/raw/master/csl-citation.json"}</w:instrText>
      </w:r>
      <w:r w:rsidRPr="0097670D">
        <w:rPr>
          <w:sz w:val="22"/>
          <w:szCs w:val="22"/>
          <w:lang w:val="en-US"/>
        </w:rPr>
        <w:fldChar w:fldCharType="separate"/>
      </w:r>
      <w:r w:rsidRPr="0097670D">
        <w:rPr>
          <w:noProof/>
          <w:sz w:val="22"/>
          <w:szCs w:val="22"/>
          <w:lang w:val="en-US"/>
        </w:rPr>
        <w:t xml:space="preserve">(Studdert </w:t>
      </w:r>
      <w:r w:rsidRPr="0097670D">
        <w:rPr>
          <w:i/>
          <w:iCs/>
          <w:noProof/>
          <w:sz w:val="22"/>
          <w:szCs w:val="22"/>
          <w:lang w:val="en-US"/>
        </w:rPr>
        <w:t>et al.</w:t>
      </w:r>
      <w:r w:rsidRPr="0097670D">
        <w:rPr>
          <w:noProof/>
          <w:sz w:val="22"/>
          <w:szCs w:val="22"/>
          <w:lang w:val="en-US"/>
        </w:rPr>
        <w:t>, 2005)</w:t>
      </w:r>
      <w:r w:rsidRPr="0097670D">
        <w:rPr>
          <w:sz w:val="22"/>
          <w:szCs w:val="22"/>
          <w:lang w:val="en-US"/>
        </w:rPr>
        <w:fldChar w:fldCharType="end"/>
      </w:r>
      <w:r w:rsidRPr="0097670D">
        <w:rPr>
          <w:sz w:val="22"/>
          <w:szCs w:val="22"/>
          <w:lang w:val="en-US"/>
        </w:rPr>
        <w:t xml:space="preserve">. </w:t>
      </w:r>
      <w:r w:rsidRPr="0097670D">
        <w:rPr>
          <w:sz w:val="22"/>
          <w:szCs w:val="22"/>
        </w:rPr>
        <w:t xml:space="preserve">It is important to have a clear understanding of why, for example, overtreatment is adopted and what the underlying factors that influence it are </w:t>
      </w:r>
      <w:r w:rsidRPr="0097670D">
        <w:rPr>
          <w:sz w:val="22"/>
          <w:szCs w:val="22"/>
        </w:rPr>
        <w:fldChar w:fldCharType="begin" w:fldLock="1"/>
      </w:r>
      <w:r w:rsidRPr="0097670D">
        <w:rPr>
          <w:sz w:val="22"/>
          <w:szCs w:val="22"/>
        </w:rPr>
        <w:instrText>ADDIN CSL_CITATION {"citationItems":[{"id":"ITEM-1","itemData":{"DOI":"10.1007/s11547-014-0465-1","ISSN":"18266983","abstract":"Purpose: Defensive Medicine occurs when doctors order tests, procedures, visits or avoid high-risk patients and procedures, primarily to reduce their exposure to malpractice liability. Some medical specialities are at “high-risk” for legal argument, but no data is actually available for radiation oncology. We present here the first survey of radiation oncologists’ views regarding malpractice liability and defensive medicine practice. Materials and methods: A three-page questionnaire was sent to 611 active radiation oncologists, members of the Italian Association of Radiation Oncology (AIRO), with questions pertaining to the incidence, nature and causes in their practice of defensive medicine. Results: A total of 361 questionnaires were completed (59 % feedback). Physicians practise defensive medicine by ordering further imaging studies (39 %) or laboratory tests (35 %), referring patients to consultants (43 %) or prescribing additional medication (35 %). Approximately, 70 % declared that the climate of opinion that exists towards doctors is one of the major issues for practising defensive medicine. Conclusion: Although radiation oncology is generally considered a “medium/low risk” speciality for defensive medicine, the present survey reflects a widespread use of this behaviour in daily practice. Investigating which radiation oncologist categories are more prone to defensive medical behaviour can be advantageous for implementing programmes aimed at improving awareness of this phenomenon and to increase good clinical practice.","author":[{"dropping-particle":"","family":"Ramella","given":"Sara","non-dropping-particle":"","parse-names":false,"suffix":""},{"dropping-particle":"","family":"Mandoliti","given":"Giovanni","non-dropping-particle":"","parse-names":false,"suffix":""},{"dropping-particle":"","family":"Trodella","given":"Lucio","non-dropping-particle":"","parse-names":false,"suffix":""},{"dropping-particle":"","family":"D’Angelillo","given":"Rolando Maria","non-dropping-particle":"","parse-names":false,"suffix":""}],"container-title":"Radiologia Medica","id":"ITEM-1","issue":"5","issued":{"date-parts":[["2015"]]},"page":"421-429","title":"The first survey on defensive medicine in radiation oncology","type":"article-journal","volume":"120"},"uris":["http://www.mendeley.com/documents/?uuid=2ad8512e-e8bb-4fc1-b704-f460a1488bbf"]}],"mendeley":{"formattedCitation":"(Ramella et al., 2015)","plainTextFormattedCitation":"(Ramella et al., 2015)","previouslyFormattedCitation":"(Ramella et al., 2015)"},"properties":{"noteIndex":0},"schema":"https://github.com/citation-style-language/schema/raw/master/csl-citation.json"}</w:instrText>
      </w:r>
      <w:r w:rsidRPr="0097670D">
        <w:rPr>
          <w:sz w:val="22"/>
          <w:szCs w:val="22"/>
        </w:rPr>
        <w:fldChar w:fldCharType="separate"/>
      </w:r>
      <w:r w:rsidRPr="0097670D">
        <w:rPr>
          <w:noProof/>
          <w:sz w:val="22"/>
          <w:szCs w:val="22"/>
        </w:rPr>
        <w:t xml:space="preserve">(Ramella </w:t>
      </w:r>
      <w:r w:rsidRPr="0097670D">
        <w:rPr>
          <w:i/>
          <w:iCs/>
          <w:noProof/>
          <w:sz w:val="22"/>
          <w:szCs w:val="22"/>
        </w:rPr>
        <w:t>et al.</w:t>
      </w:r>
      <w:r w:rsidRPr="0097670D">
        <w:rPr>
          <w:noProof/>
          <w:sz w:val="22"/>
          <w:szCs w:val="22"/>
        </w:rPr>
        <w:t>, 2015)</w:t>
      </w:r>
      <w:r w:rsidRPr="0097670D">
        <w:rPr>
          <w:sz w:val="22"/>
          <w:szCs w:val="22"/>
        </w:rPr>
        <w:fldChar w:fldCharType="end"/>
      </w:r>
      <w:r w:rsidRPr="0097670D">
        <w:rPr>
          <w:sz w:val="22"/>
          <w:szCs w:val="22"/>
        </w:rPr>
        <w:t xml:space="preserve">. Despite physicians being the main actors in defensive behaviours, a study based only on their perspective has previously been noted as a limitation on such research </w:t>
      </w:r>
      <w:r w:rsidRPr="0097670D">
        <w:rPr>
          <w:sz w:val="22"/>
          <w:szCs w:val="22"/>
        </w:rPr>
        <w:fldChar w:fldCharType="begin" w:fldLock="1"/>
      </w:r>
      <w:r w:rsidRPr="0097670D">
        <w:rPr>
          <w:sz w:val="22"/>
          <w:szCs w:val="22"/>
        </w:rPr>
        <w:instrText>ADDIN CSL_CITATION {"citationItems":[{"id":"ITEM-1","itemData":{"DOI":"10.1136/bmjqs-2012-001691","ISSN":"20445415","abstract":"Objectives (1) To determine the distribution of formal patient complaints across Australia's medical workforce and (2) to identify characteristics of doctors at high risk of incurring recurrent complaints. Methods We assembled a national sample of all 18 907 formal patient complaints filed against doctors with health service ombudsmen ('Commissions') in Australia over an 11-year period. We analysed the distribution of complaints among practicing doctors. We then used recurrent-event survival analysis to identify characteristics of doctors at high risk of recurrent complaints, and to estimate each individual doctor's risk of incurring future complaints. Results The distribution of complaints among doctors was highly skewed: 3% of Australia's medical workforce accounted for 49% of complaints and 1% accounted for a quarter of complaints. Short-term risks of recurrence varied significantly among doctors: there was a strong dose-response relationship with number of previous complaints and significant differences by doctor specialty and sex. At the practitioner level, risks varied widely, from doctors with &lt;10% risk of further complaints within 2 years to doctors with &gt;80% risk. Conclusions A small group of doctors accounts for half of all patient complaints lodged with Australian Commissions. It is feasible to predict which doctors are at high risk of incurring more complaints in the near future. Widespread use of this approach to identify high-risk doctors and target quality improvement efforts coupled with effective interventions, could help reduce adverse events and patient dissatisfaction in health systems.","author":[{"dropping-particle":"","family":"Bismark","given":"Marie M.","non-dropping-particle":"","parse-names":false,"suffix":""},{"dropping-particle":"","family":"Spittal","given":"Matthew J.","non-dropping-particle":"","parse-names":false,"suffix":""},{"dropping-particle":"","family":"Gurrin","given":"Lyle C.","non-dropping-particle":"","parse-names":false,"suffix":""},{"dropping-particle":"","family":"Ward","given":"Michael","non-dropping-particle":"","parse-names":false,"suffix":""},{"dropping-particle":"","family":"Studdert","given":"David M.","non-dropping-particle":"","parse-names":false,"suffix":""}],"container-title":"BMJ Quality and Safety","id":"ITEM-1","issue":"7","issued":{"date-parts":[["2013"]]},"page":"532-540","title":"Identification of doctors at risk of recurrent complaints: A national study of healthcare complaints in Australia","type":"article-journal","volume":"22"},"uris":["http://www.mendeley.com/documents/?uuid=7342193f-fd50-4ef7-9041-30a4f03035b9"]}],"mendeley":{"formattedCitation":"(Bismark et al., 2013)","plainTextFormattedCitation":"(Bismark et al., 2013)","previouslyFormattedCitation":"(Bismark et al., 2013)"},"properties":{"noteIndex":0},"schema":"https://github.com/citation-style-language/schema/raw/master/csl-citation.json"}</w:instrText>
      </w:r>
      <w:r w:rsidRPr="0097670D">
        <w:rPr>
          <w:sz w:val="22"/>
          <w:szCs w:val="22"/>
        </w:rPr>
        <w:fldChar w:fldCharType="separate"/>
      </w:r>
      <w:r w:rsidRPr="0097670D">
        <w:rPr>
          <w:noProof/>
          <w:sz w:val="22"/>
          <w:szCs w:val="22"/>
        </w:rPr>
        <w:t xml:space="preserve">(Bismark </w:t>
      </w:r>
      <w:r w:rsidRPr="0097670D">
        <w:rPr>
          <w:i/>
          <w:iCs/>
          <w:noProof/>
          <w:sz w:val="22"/>
          <w:szCs w:val="22"/>
        </w:rPr>
        <w:t>et al.</w:t>
      </w:r>
      <w:r w:rsidRPr="0097670D">
        <w:rPr>
          <w:noProof/>
          <w:sz w:val="22"/>
          <w:szCs w:val="22"/>
        </w:rPr>
        <w:t>, 2013)</w:t>
      </w:r>
      <w:r w:rsidRPr="0097670D">
        <w:rPr>
          <w:sz w:val="22"/>
          <w:szCs w:val="22"/>
        </w:rPr>
        <w:fldChar w:fldCharType="end"/>
      </w:r>
      <w:r w:rsidRPr="0097670D">
        <w:rPr>
          <w:sz w:val="22"/>
          <w:szCs w:val="22"/>
        </w:rPr>
        <w:t xml:space="preserve">. In this sense, our work provides a contribution in terms of a different research methodology by including patients’ perspectives in order to have a more complete understanding of this phenomenon. Furthermore, a very recent work </w:t>
      </w:r>
      <w:r w:rsidRPr="0097670D">
        <w:rPr>
          <w:sz w:val="22"/>
          <w:szCs w:val="22"/>
        </w:rPr>
        <w:fldChar w:fldCharType="begin" w:fldLock="1"/>
      </w:r>
      <w:r w:rsidRPr="0097670D">
        <w:rPr>
          <w:sz w:val="22"/>
          <w:szCs w:val="22"/>
        </w:rPr>
        <w:instrText>ADDIN CSL_CITATION {"citationItems":[{"id":"ITEM-1","itemData":{"DOI":"10.1136/bmjopen-2018-025108","ISSN":"20446055","abstract":"Objectives This study investigated whether the attitudes of physicians towards justified and unjustified litigation, and their perception of patient pressure in demanding care, influence their use of defensive medical behaviours. Design Cross-sectional survey using exploratory factor analysis was conducted to determine litigation attitude and perceived patient pressure factors. Regression analyses were used to regress these factors on to the ordering of extra tests or procedures (defensive assurance behaviour) or the avoidance of high-risk patients or procedures (defensive avoidance behaviour). Setting Data were collected from eight Dutch hospitals. Participants Respondents were 160 physicians and 54 residents (response rate 25%) of the hospital departments of (1) anaesthesiology, (2) colon, stomach and liver diseases, (3) gynaecology, (4) internal medicine, (5) neurology and (6) surgery. Primary outcome measures Respondents' application of defensive assurance and avoidance behaviours. Results € Disapproval of justified litigation' and € Concerns about unjustified litigation' were positively related to both assurance (β=0.21, p&lt;0.01, and β=0.28, p&lt;0.001, respectively) and avoidance (β=0.16, p&lt;0.05, and β=0.18, p&lt;0.05, respectively) behaviours. € Self-blame for justified litigation' was not significantly related to both defensive behaviours. Perceived patient pressures to refer (β=0.18, p&lt;0.05) and to prescribe medicine (β=0.23, p&lt;0.01) had direct positive relationships with assurance behaviour, whereas perceived patient pressure to prescribe medicine was also positively related to avoidance behaviour (β=0.14, p&lt;0.05). No difference was found between physicians and residents in their defensive medical behaviour. Conclusions Physicians adopted more defensive medical behaviours if they had stronger thoughts and emotions towards (un)justified litigation. Further, physicians should be aware that perceived patient pressure for care can lead to them adopting defensive behaviours that negatively affects the quality and safety of patient care.","author":[{"dropping-particle":"","family":"Renkema","given":"Erik","non-dropping-particle":"","parse-names":false,"suffix":""},{"dropping-particle":"","family":"Ahaus","given":"Kees","non-dropping-particle":"","parse-names":false,"suffix":""},{"dropping-particle":"","family":"Broekhuis","given":"Manda","non-dropping-particle":"","parse-names":false,"suffix":""},{"dropping-particle":"","family":"Tims","given":"Maria","non-dropping-particle":"","parse-names":false,"suffix":""}],"container-title":"BMJ Open","id":"ITEM-1","issue":"6","issued":{"date-parts":[["2019"]]},"page":"1-11","title":"Triggers of defensive medical behaviours: A cross-sectional study among physicians in the Netherlands","type":"article-journal","volume":"9"},"uris":["http://www.mendeley.com/documents/?uuid=1e6128e3-f6ea-4367-8319-285ae1b0c6bc"]}],"mendeley":{"formattedCitation":"(Renkema et al., 2019)","plainTextFormattedCitation":"(Renkema et al., 2019)","previouslyFormattedCitation":"(Renkema et al., 2019)"},"properties":{"noteIndex":0},"schema":"https://github.com/citation-style-language/schema/raw/master/csl-citation.json"}</w:instrText>
      </w:r>
      <w:r w:rsidRPr="0097670D">
        <w:rPr>
          <w:sz w:val="22"/>
          <w:szCs w:val="22"/>
        </w:rPr>
        <w:fldChar w:fldCharType="separate"/>
      </w:r>
      <w:r w:rsidRPr="0097670D">
        <w:rPr>
          <w:noProof/>
          <w:sz w:val="22"/>
          <w:szCs w:val="22"/>
        </w:rPr>
        <w:t xml:space="preserve">(Renkema </w:t>
      </w:r>
      <w:r w:rsidRPr="0097670D">
        <w:rPr>
          <w:i/>
          <w:iCs/>
          <w:noProof/>
          <w:sz w:val="22"/>
          <w:szCs w:val="22"/>
        </w:rPr>
        <w:t>et al.</w:t>
      </w:r>
      <w:r w:rsidRPr="0097670D">
        <w:rPr>
          <w:noProof/>
          <w:sz w:val="22"/>
          <w:szCs w:val="22"/>
        </w:rPr>
        <w:t>, 2019)</w:t>
      </w:r>
      <w:r w:rsidRPr="0097670D">
        <w:rPr>
          <w:sz w:val="22"/>
          <w:szCs w:val="22"/>
        </w:rPr>
        <w:fldChar w:fldCharType="end"/>
      </w:r>
      <w:r w:rsidRPr="0097670D">
        <w:rPr>
          <w:sz w:val="22"/>
          <w:szCs w:val="22"/>
        </w:rPr>
        <w:t xml:space="preserve"> has encouraged future researchers to use longitudinal studies to further investigate defensive medical behaviour through the lens of the patient–physician relationship. Although our work cannot be considered a longitudinal study, we have highlighted the dynamic nature of these relationships over time and in unexpected clinical situations.</w:t>
      </w:r>
    </w:p>
    <w:p w14:paraId="45883C3E" w14:textId="77777777" w:rsidR="002147D8" w:rsidRPr="0097670D" w:rsidRDefault="00890C24">
      <w:pPr>
        <w:pStyle w:val="Corpotesto"/>
        <w:spacing w:before="0" w:line="480" w:lineRule="auto"/>
        <w:rPr>
          <w:i/>
          <w:sz w:val="22"/>
          <w:szCs w:val="22"/>
        </w:rPr>
      </w:pPr>
      <w:r w:rsidRPr="0097670D">
        <w:rPr>
          <w:i/>
          <w:sz w:val="22"/>
          <w:szCs w:val="22"/>
        </w:rPr>
        <w:t>“One day, during my job for an ambulance shift, I reanimated an old man that had a heart attack, saving his life. By coincidence, that man was the father of a patient of mine, and from that moment, the relationship between me and his son changed a lot. He started to be 100% compliant with all my prescriptions.”</w:t>
      </w:r>
    </w:p>
    <w:p w14:paraId="167BF157" w14:textId="77777777" w:rsidR="002147D8" w:rsidRPr="0097670D" w:rsidRDefault="00890C24">
      <w:pPr>
        <w:pStyle w:val="Corpotesto"/>
        <w:spacing w:before="0" w:line="480" w:lineRule="auto"/>
        <w:jc w:val="right"/>
        <w:rPr>
          <w:i/>
          <w:sz w:val="22"/>
          <w:szCs w:val="22"/>
        </w:rPr>
      </w:pPr>
      <w:r w:rsidRPr="0097670D">
        <w:rPr>
          <w:i/>
          <w:sz w:val="22"/>
          <w:szCs w:val="22"/>
        </w:rPr>
        <w:t>Family doctor</w:t>
      </w:r>
    </w:p>
    <w:p w14:paraId="2BE64FC7" w14:textId="77777777" w:rsidR="002147D8" w:rsidRPr="0097670D" w:rsidRDefault="002147D8">
      <w:pPr>
        <w:pStyle w:val="Corpotesto"/>
        <w:spacing w:before="0" w:line="480" w:lineRule="auto"/>
        <w:rPr>
          <w:sz w:val="22"/>
          <w:szCs w:val="22"/>
        </w:rPr>
      </w:pPr>
    </w:p>
    <w:p w14:paraId="3D8F4F79" w14:textId="34E44B59" w:rsidR="002147D8" w:rsidRPr="0097670D" w:rsidRDefault="00890C24">
      <w:pPr>
        <w:pStyle w:val="Corpotesto"/>
        <w:spacing w:before="0" w:line="480" w:lineRule="auto"/>
        <w:jc w:val="left"/>
        <w:rPr>
          <w:i/>
          <w:sz w:val="22"/>
          <w:szCs w:val="22"/>
        </w:rPr>
      </w:pPr>
      <w:r w:rsidRPr="0097670D">
        <w:rPr>
          <w:i/>
          <w:sz w:val="22"/>
          <w:szCs w:val="22"/>
        </w:rPr>
        <w:t>Managerial Insights</w:t>
      </w:r>
    </w:p>
    <w:p w14:paraId="2183E56C" w14:textId="3023BDFE" w:rsidR="002147D8" w:rsidRPr="0097670D" w:rsidRDefault="00890C24" w:rsidP="000E1687">
      <w:pPr>
        <w:pStyle w:val="Corpotesto"/>
        <w:spacing w:before="0" w:line="480" w:lineRule="auto"/>
        <w:rPr>
          <w:sz w:val="22"/>
          <w:szCs w:val="22"/>
        </w:rPr>
      </w:pPr>
      <w:r w:rsidRPr="0097670D">
        <w:rPr>
          <w:sz w:val="22"/>
          <w:szCs w:val="22"/>
        </w:rPr>
        <w:t>Three important managerial insights can be extracted from the empirical evidence of this study.</w:t>
      </w:r>
      <w:bookmarkStart w:id="26" w:name="_Hlk61395406"/>
      <w:r w:rsidRPr="0097670D">
        <w:rPr>
          <w:sz w:val="22"/>
          <w:szCs w:val="22"/>
        </w:rPr>
        <w:t xml:space="preserve"> Firstly, as value is co-created and embedded in personal relationships, it is important for managers to know how the potential value from different resources can be actualised through the patient–physician dual approach </w:t>
      </w:r>
      <w:r w:rsidRPr="0097670D">
        <w:rPr>
          <w:sz w:val="22"/>
          <w:szCs w:val="22"/>
        </w:rPr>
        <w:fldChar w:fldCharType="begin" w:fldLock="1"/>
      </w:r>
      <w:r w:rsidRPr="0097670D">
        <w:rPr>
          <w:sz w:val="22"/>
          <w:szCs w:val="22"/>
        </w:rPr>
        <w:instrText>ADDIN CSL_CITATION {"citationItems":[{"id":"ITEM-1","itemData":{"DOI":"10.1108/IJOPM-10-2015-0644","ISSN":"17586593","abstract":"Purpose: The purpose of this paper is to explain how value is co-created in a many-to-many (MTM) context. The authors use a case study of a non-governmental service delivery consortium engaging multiple actors to examine how value is co-created beyond the buyer-supplier dyad. Design/methodology/approach: An explanatory case study of a consortium of seven UK non-governmental organisations (NGOs) delivering public service contracts is presented. Multiple data collection methods are combined; semi-structured interviews (n=30) and focus groups with internal stakeholders (n=5), participant observations (n=4) and document analysis. Findings: The authors use three illustrative empirical examples to show how different sources, types, enablers and mechanisms of VCC are evident during service provision activities. The findings show how different service provision activities utilise different dimensions, leading the authors to suggest that dimensions of VCC may be context dependent. Research limitations/implications: As consortia differ in their context and function, the findings may not be generalisable. Nevertheless, they provide specific examples of sources, types, enablers and mechanisms of value co-creation (VCC) that may be applicable to private, public and NGOs. Practical implications: Understanding how value is co-created with multiple stakeholders can offer competitive advantages likely to lead to improved sustainability, impact and performance. Originality/value: The empirical study offers a reconceptualisation of VCC in a MTM context. The paper combines disparate perspectives of VCC to offer a more holistic perspective.","author":[{"dropping-particle":"","family":"Best","given":"Bernadette","non-dropping-particle":"","parse-names":false,"suffix":""},{"dropping-particle":"","family":"Moffett","given":"Sandra","non-dropping-particle":"","parse-names":false,"suffix":""},{"dropping-particle":"","family":"Hannibal","given":"Claire","non-dropping-particle":"","parse-names":false,"suffix":""},{"dropping-particle":"","family":"McAdam","given":"Rodney","non-dropping-particle":"","parse-names":false,"suffix":""}],"container-title":"International Journal of Operations and Production Management","id":"ITEM-1","issue":"7","issued":{"date-parts":[["2018"]]},"page":"1540-1561","title":"Examining networked NGO services: reconceptualising value co-creation","type":"article-journal","volume":"38"},"uris":["http://www.mendeley.com/documents/?uuid=343527a8-3677-44f7-8fc5-956dad8b9871"]}],"mendeley":{"formattedCitation":"(Best et al., 2018)","plainTextFormattedCitation":"(Best et al., 2018)","previouslyFormattedCitation":"(Best et al., 2018)"},"properties":{"noteIndex":0},"schema":"https://github.com/citation-style-language/schema/raw/master/csl-citation.json"}</w:instrText>
      </w:r>
      <w:r w:rsidRPr="0097670D">
        <w:rPr>
          <w:sz w:val="22"/>
          <w:szCs w:val="22"/>
        </w:rPr>
        <w:fldChar w:fldCharType="separate"/>
      </w:r>
      <w:r w:rsidRPr="0097670D">
        <w:rPr>
          <w:noProof/>
          <w:sz w:val="22"/>
          <w:szCs w:val="22"/>
        </w:rPr>
        <w:t xml:space="preserve">(Best </w:t>
      </w:r>
      <w:r w:rsidRPr="0097670D">
        <w:rPr>
          <w:i/>
          <w:iCs/>
          <w:noProof/>
          <w:sz w:val="22"/>
          <w:szCs w:val="22"/>
        </w:rPr>
        <w:t>et al.</w:t>
      </w:r>
      <w:r w:rsidRPr="0097670D">
        <w:rPr>
          <w:noProof/>
          <w:sz w:val="22"/>
          <w:szCs w:val="22"/>
        </w:rPr>
        <w:t>, 2018)</w:t>
      </w:r>
      <w:r w:rsidRPr="0097670D">
        <w:rPr>
          <w:sz w:val="22"/>
          <w:szCs w:val="22"/>
        </w:rPr>
        <w:fldChar w:fldCharType="end"/>
      </w:r>
      <w:r w:rsidRPr="0097670D">
        <w:rPr>
          <w:sz w:val="22"/>
          <w:szCs w:val="22"/>
        </w:rPr>
        <w:t xml:space="preserve">. With this study, </w:t>
      </w:r>
      <w:bookmarkStart w:id="27" w:name="_Hlk52873514"/>
      <w:r w:rsidRPr="0097670D">
        <w:rPr>
          <w:sz w:val="22"/>
          <w:szCs w:val="22"/>
        </w:rPr>
        <w:t xml:space="preserve">it is possible to understand how the concept of value for the patient does not have a fixed output. But instead, it differs depending on clinical condition, expectation, and context, and it is strongly influenced by their interaction with </w:t>
      </w:r>
      <w:r w:rsidRPr="0097670D">
        <w:rPr>
          <w:sz w:val="22"/>
          <w:szCs w:val="22"/>
        </w:rPr>
        <w:lastRenderedPageBreak/>
        <w:t>the doctor. It is important to understand and predict which of these archetypes is more likely to occur in order to anticipate the outcomes of a given clinical situation in terms of VCC and DM. In this sense, Figure 2 provides the potential outcomes of particular situations. So, in the case of chronic disease, the potential for value co-creation is high; thus, the physician should opt to collaborate with the patient in order to maximize VCC and avoid defensive attitudes. Instead, for a medical specialist consultancy, the patient’s need is more focused on information exchange, and the risk of defensive behaviours is much higher. Being aware of these mechanics, practitioners can choose the best strategy in order to maximize VCC and minimize DM depending on the situation.</w:t>
      </w:r>
      <w:bookmarkEnd w:id="27"/>
    </w:p>
    <w:bookmarkEnd w:id="26"/>
    <w:p w14:paraId="5C052CE2" w14:textId="5BF9DA18" w:rsidR="002147D8" w:rsidRPr="0097670D" w:rsidRDefault="00890C24">
      <w:pPr>
        <w:pStyle w:val="Corpotesto"/>
        <w:spacing w:before="0" w:line="480" w:lineRule="auto"/>
        <w:ind w:firstLine="284"/>
        <w:rPr>
          <w:sz w:val="22"/>
          <w:szCs w:val="22"/>
        </w:rPr>
      </w:pPr>
      <w:r w:rsidRPr="0097670D">
        <w:rPr>
          <w:sz w:val="22"/>
          <w:szCs w:val="22"/>
        </w:rPr>
        <w:t xml:space="preserve">Secondly, the increasing pressure to examine more and more patients in a short period of time, in order to dismiss the patients from the hospital promptly, can negatively impact patient–physician relationships </w:t>
      </w:r>
      <w:r w:rsidRPr="0097670D">
        <w:rPr>
          <w:sz w:val="22"/>
          <w:szCs w:val="22"/>
        </w:rPr>
        <w:fldChar w:fldCharType="begin" w:fldLock="1"/>
      </w:r>
      <w:r w:rsidRPr="0097670D">
        <w:rPr>
          <w:sz w:val="22"/>
          <w:szCs w:val="22"/>
        </w:rPr>
        <w:instrText>ADDIN CSL_CITATION {"citationItems":[{"id":"ITEM-1","itemData":{"DOI":"10.12998/wjcc.v6.i11.447","ISSN":"2307-8960","abstract":"I WJCC|www.wjgnet.com July 16, 2017|Volume 5|Issue 7| MINIREVIEWS 258 New Zippi M, Hong W, Crispino P, Traversa G 264 Screening - old Pavlovic M, Berenji K, Bukurov M 270 Practical Nayak R ORIGINAL ARTICLE Retrospective Study 280 Feasibility Yamamiya A, Kitamura K, Ishii Y, Mitsui Y, Nomoto T, Yoshida H SYSTEMATIC REVIEWS 286 Diagnostic Kanzara T, Virk JS CASE REPORT 292 Post : Literature Pescatori L, Tropeano MP, Mancarella C, Prizio E, Santoro G, Domenicucci M 299 Rare Luongo M 303 Is ?","author":[{"dropping-particle":"","family":"Vento","given":"Sandro","non-dropping-particle":"","parse-names":false,"suffix":""},{"dropping-particle":"","family":"Cainelli","given":"Francesca","non-dropping-particle":"","parse-names":false,"suffix":""},{"dropping-particle":"","family":"Vallone","given":"Alfredo","non-dropping-particle":"","parse-names":false,"suffix":""}],"container-title":"World Journal of Clinical Cases","id":"ITEM-1","issue":"9","issued":{"date-parts":[["2018"]]},"page":"157-164","title":"Defensive medicine: It is time to finally slow down an epidemic","type":"article-journal","volume":"9"},"uris":["http://www.mendeley.com/documents/?uuid=6ddf2100-cc41-34aa-ace5-1fefbae79ea6"]}],"mendeley":{"formattedCitation":"(Vento et al., 2018)","plainTextFormattedCitation":"(Vento et al., 2018)","previouslyFormattedCitation":"(Vento et al., 2018)"},"properties":{"noteIndex":0},"schema":"https://github.com/citation-style-language/schema/raw/master/csl-citation.json"}</w:instrText>
      </w:r>
      <w:r w:rsidRPr="0097670D">
        <w:rPr>
          <w:sz w:val="22"/>
          <w:szCs w:val="22"/>
        </w:rPr>
        <w:fldChar w:fldCharType="separate"/>
      </w:r>
      <w:r w:rsidRPr="0097670D">
        <w:rPr>
          <w:noProof/>
          <w:sz w:val="22"/>
          <w:szCs w:val="22"/>
        </w:rPr>
        <w:t xml:space="preserve">(Vento </w:t>
      </w:r>
      <w:r w:rsidRPr="0097670D">
        <w:rPr>
          <w:i/>
          <w:iCs/>
          <w:noProof/>
          <w:sz w:val="22"/>
          <w:szCs w:val="22"/>
        </w:rPr>
        <w:t>et al.</w:t>
      </w:r>
      <w:r w:rsidRPr="0097670D">
        <w:rPr>
          <w:noProof/>
          <w:sz w:val="22"/>
          <w:szCs w:val="22"/>
        </w:rPr>
        <w:t>, 2018)</w:t>
      </w:r>
      <w:r w:rsidRPr="0097670D">
        <w:rPr>
          <w:sz w:val="22"/>
          <w:szCs w:val="22"/>
        </w:rPr>
        <w:fldChar w:fldCharType="end"/>
      </w:r>
      <w:r w:rsidRPr="0097670D">
        <w:rPr>
          <w:sz w:val="22"/>
          <w:szCs w:val="22"/>
        </w:rPr>
        <w:t>. Managers should avoid seeing healthcare processes just in terms of productivity. The standardization of medical practices should not always be</w:t>
      </w:r>
      <w:r w:rsidR="00543930">
        <w:rPr>
          <w:sz w:val="22"/>
          <w:szCs w:val="22"/>
        </w:rPr>
        <w:t xml:space="preserve"> </w:t>
      </w:r>
      <w:r w:rsidRPr="0097670D">
        <w:rPr>
          <w:sz w:val="22"/>
          <w:szCs w:val="22"/>
        </w:rPr>
        <w:t xml:space="preserve">encouraged, and service personalization should be preferred. Medicine is not an exact science, and, by definition, it should be the most personalized of services. Some can argue that the guidelines can help address the phenomenon of defensive medicine </w:t>
      </w:r>
      <w:r w:rsidRPr="0097670D">
        <w:rPr>
          <w:sz w:val="22"/>
          <w:szCs w:val="22"/>
        </w:rPr>
        <w:fldChar w:fldCharType="begin" w:fldLock="1"/>
      </w:r>
      <w:r w:rsidRPr="0097670D">
        <w:rPr>
          <w:sz w:val="22"/>
          <w:szCs w:val="22"/>
        </w:rPr>
        <w:instrText>ADDIN CSL_CITATION {"citationItems":[{"id":"ITEM-1","itemData":{"DOI":"10.18662/lumproc.rsacvp2017.82","author":[{"dropping-particle":"","family":"Tinica","given":"G.","non-dropping-particle":"","parse-names":false,"suffix":""},{"dropping-particle":"","family":"Tomaziu-Todosia","given":"M.","non-dropping-particle":"","parse-names":false,"suffix":""},{"dropping-particle":"","family":"Tomaziu Todosia, G.-C. Christol","given":"R.O.","non-dropping-particle":"","parse-names":false,"suffix":""},{"dropping-particle":"","family":"Bulgariu-Iliescu","given":"D.","non-dropping-particle":"","parse-names":false,"suffix":""},{"dropping-particle":"","family":"Furnica","given":"C.","non-dropping-particle":"","parse-names":false,"suffix":""}],"container-title":"Rethinking Social Action. Core Values in Practice","id":"ITEM-1","issued":{"date-parts":[["2017","12","14"]]},"page":"898-910","title":"Defensive Medicine: Myths and Realities","type":"paper-conference","volume":"1"},"uris":["http://www.mendeley.com/documents/?uuid=0e14e71d-efc8-3a0c-b7ee-0de76a55459a"]},{"id":"ITEM-2","itemData":{"DOI":"10.1177/1355819617707224","ISSN":"17581060","abstract":"Objective: To identify the prevalence of the practice of defensive medicine among Italian hospital physicians, its costs and the reasons for practising defensive medicine and possible solutions to reduce the practice of defensive medicine. Methods: Cross-sectional web survey. Main outcome measures: Number of physicians reporting having engaged in any defensive medicine behaviour in the previous year. Results: A total of 1313 physicians completed the survey. Ninety-five per cent believed that defensive medicine would increase in the near future. The practice of defensive medicine accounted for approximately 10% of total annual Italian national health expenditure. Conclusions: Defensive medicine is a significant factor in health care costs without adding any benefit to patients. The economic burden of defensive medicine on health care systems should provide a substantial stimulus for a prompt review of this situation in a time of economic crisis. Malpractice reform, together with a systematic use of evidence-based clinical guidelines, is likely to be the most effective way to reduce defensive medicine.","author":[{"dropping-particle":"","family":"Panella","given":"Massimiliano","non-dropping-particle":"","parse-names":false,"suffix":""},{"dropping-particle":"","family":"Rinaldi","given":"Carmela","non-dropping-particle":"","parse-names":false,"suffix":""},{"dropping-particle":"","family":"Leigheb","given":"Fabrizio","non-dropping-particle":"","parse-names":false,"suffix":""},{"dropping-particle":"","family":"Knesse","given":"Sanita","non-dropping-particle":"","parse-names":false,"suffix":""},{"dropping-particle":"","family":"Donnarumma","given":"Chiara","non-dropping-particle":"","parse-names":false,"suffix":""},{"dropping-particle":"","family":"Kul","given":"Seval","non-dropping-particle":"","parse-names":false,"suffix":""},{"dropping-particle":"","family":"Vanhaecht","given":"Kris","non-dropping-particle":"","parse-names":false,"suffix":""},{"dropping-particle":"","family":"Stanislao","given":"Francesco","non-dropping-particle":"Di","parse-names":false,"suffix":""}],"container-title":"Journal of Health Services Research and Policy","id":"ITEM-2","issue":"4","issued":{"date-parts":[["2017"]]},"page":"211-217","title":"Prevalence and costs of defensive medicine: A national survey of Italian physicians","type":"article-journal","volume":"22"},"uris":["http://www.mendeley.com/documents/?uuid=1fe83151-3bd5-48b2-a14d-913eda340123"]}],"mendeley":{"formattedCitation":"(Panella et al., 2017; Tinica et al., 2017)","plainTextFormattedCitation":"(Panella et al., 2017; Tinica et al., 2017)","previouslyFormattedCitation":"(Panella et al., 2017; Tinica et al., 2017)"},"properties":{"noteIndex":0},"schema":"https://github.com/citation-style-language/schema/raw/master/csl-citation.json"}</w:instrText>
      </w:r>
      <w:r w:rsidRPr="0097670D">
        <w:rPr>
          <w:sz w:val="22"/>
          <w:szCs w:val="22"/>
        </w:rPr>
        <w:fldChar w:fldCharType="separate"/>
      </w:r>
      <w:r w:rsidRPr="0097670D">
        <w:rPr>
          <w:noProof/>
          <w:sz w:val="22"/>
          <w:szCs w:val="22"/>
        </w:rPr>
        <w:t xml:space="preserve">(Panella </w:t>
      </w:r>
      <w:r w:rsidRPr="0097670D">
        <w:rPr>
          <w:i/>
          <w:iCs/>
          <w:noProof/>
          <w:sz w:val="22"/>
          <w:szCs w:val="22"/>
        </w:rPr>
        <w:t>et al.</w:t>
      </w:r>
      <w:r w:rsidRPr="0097670D">
        <w:rPr>
          <w:noProof/>
          <w:sz w:val="22"/>
          <w:szCs w:val="22"/>
        </w:rPr>
        <w:t xml:space="preserve">, 2017; Tinica </w:t>
      </w:r>
      <w:r w:rsidRPr="0097670D">
        <w:rPr>
          <w:i/>
          <w:iCs/>
          <w:noProof/>
          <w:sz w:val="22"/>
          <w:szCs w:val="22"/>
        </w:rPr>
        <w:t>et al.</w:t>
      </w:r>
      <w:r w:rsidRPr="0097670D">
        <w:rPr>
          <w:noProof/>
          <w:sz w:val="22"/>
          <w:szCs w:val="22"/>
        </w:rPr>
        <w:t>, 2017)</w:t>
      </w:r>
      <w:r w:rsidRPr="0097670D">
        <w:rPr>
          <w:sz w:val="22"/>
          <w:szCs w:val="22"/>
        </w:rPr>
        <w:fldChar w:fldCharType="end"/>
      </w:r>
      <w:r w:rsidRPr="0097670D">
        <w:rPr>
          <w:sz w:val="22"/>
          <w:szCs w:val="22"/>
        </w:rPr>
        <w:t xml:space="preserve">. This is partially true because sometimes even protocols are defensive. In fact, they have been devised and studied to be appropriate for the majority of the population; thus, they could be considered defensive in some cases. For these reasons, </w:t>
      </w:r>
      <w:bookmarkStart w:id="28" w:name="_Hlk52873565"/>
      <w:r w:rsidRPr="0097670D">
        <w:rPr>
          <w:sz w:val="22"/>
          <w:szCs w:val="22"/>
        </w:rPr>
        <w:t>managers should not focus on pushing doctors to strictly follow medical guidelines to avoid legal problems but instead focus on pushing service personalization according to the archetypes developed here</w:t>
      </w:r>
      <w:bookmarkEnd w:id="28"/>
      <w:r w:rsidR="00FB1CCF" w:rsidRPr="0097670D">
        <w:rPr>
          <w:sz w:val="22"/>
          <w:szCs w:val="22"/>
        </w:rPr>
        <w:t xml:space="preserve">. </w:t>
      </w:r>
      <w:r w:rsidRPr="0097670D">
        <w:rPr>
          <w:sz w:val="22"/>
          <w:szCs w:val="22"/>
        </w:rPr>
        <w:t>For example, in serious illness cases, patients tend to prefer to be guided more by the doctor, leaving more autonomy to them in the decision-making process. In informative cases there is an opposite trend, and the patient prefers to have more control over the therapeutic path.</w:t>
      </w:r>
    </w:p>
    <w:p w14:paraId="4D97D356" w14:textId="76A89E62" w:rsidR="002147D8" w:rsidRPr="0097670D" w:rsidRDefault="00890C24">
      <w:pPr>
        <w:pStyle w:val="Corpotesto"/>
        <w:spacing w:before="0" w:line="480" w:lineRule="auto"/>
        <w:ind w:firstLine="284"/>
        <w:rPr>
          <w:sz w:val="22"/>
          <w:szCs w:val="22"/>
        </w:rPr>
      </w:pPr>
      <w:r w:rsidRPr="0097670D">
        <w:rPr>
          <w:sz w:val="22"/>
          <w:szCs w:val="22"/>
        </w:rPr>
        <w:t xml:space="preserve">Finally, service providers need to find access to customers’ value sphere. In particular, firms should make use of existing direct interactions with customers and, when appropriate, strive to create additional interactions. By actively managing the patient–physician relationship, the healthcare provider can influence their patients’ perceptions of the care process, also influencing </w:t>
      </w:r>
      <w:r w:rsidRPr="0097670D">
        <w:rPr>
          <w:sz w:val="22"/>
          <w:szCs w:val="22"/>
        </w:rPr>
        <w:lastRenderedPageBreak/>
        <w:t xml:space="preserve">their future engagement in it </w:t>
      </w:r>
      <w:r w:rsidRPr="0097670D">
        <w:rPr>
          <w:sz w:val="22"/>
          <w:szCs w:val="22"/>
        </w:rPr>
        <w:fldChar w:fldCharType="begin" w:fldLock="1"/>
      </w:r>
      <w:r w:rsidRPr="0097670D">
        <w:rPr>
          <w:sz w:val="22"/>
          <w:szCs w:val="22"/>
        </w:rPr>
        <w:instrText>ADDIN CSL_CITATION {"citationItems":[{"id":"ITEM-1","itemData":{"DOI":"10.1007/s11747-012-0308-3","ISSN":"00920703","abstract":"Because extant literature on the service logic of marketing is dominated by a metaphorical view of value co-creation, the roles of both service providers and customers remain analytically unspecified, without a theoretically sound foundation for value creation or co-creation. This article analyzes value creation and co-creation in service by analytically defining the roles of the customer and the firm, as well as the scope, locus, and nature of value and value creation. Value creation refers to customers' creation of value-in-use; co-creation is a function of interaction. Both the firm's and the customer's actions can be categorized by spheres (provider, joint, customer), and their interactions are either direct or indirect, leading to different forms of value creation and co-creation. This conceptualization of value creation spheres extends knowledge about how value-in-use emerges and how value creation can be managed; it also emphasizes the pivotal role of direct interactions for value co-creation opportunities. © 2012 Academy of Marketing Science.","author":[{"dropping-particle":"","family":"Grönroos","given":"Christian","non-dropping-particle":"","parse-names":false,"suffix":""},{"dropping-particle":"","family":"Voima","given":"Päivi","non-dropping-particle":"","parse-names":false,"suffix":""}],"container-title":"Journal of the Academy of Marketing Science","id":"ITEM-1","issue":"2","issued":{"date-parts":[["2013"]]},"page":"133-150","title":"Critical service logic: Making sense of value creation and co-creation","type":"article-journal","volume":"41"},"uris":["http://www.mendeley.com/documents/?uuid=d5b3ccb6-ac3b-46cf-a0c6-75dd01790532"]}],"mendeley":{"formattedCitation":"(Grönroos and Voima, 2013)","plainTextFormattedCitation":"(Grönroos and Voima, 2013)","previouslyFormattedCitation":"(Grönroos and Voima, 2013)"},"properties":{"noteIndex":0},"schema":"https://github.com/citation-style-language/schema/raw/master/csl-citation.json"}</w:instrText>
      </w:r>
      <w:r w:rsidRPr="0097670D">
        <w:rPr>
          <w:sz w:val="22"/>
          <w:szCs w:val="22"/>
        </w:rPr>
        <w:fldChar w:fldCharType="separate"/>
      </w:r>
      <w:r w:rsidRPr="0097670D">
        <w:rPr>
          <w:noProof/>
          <w:sz w:val="22"/>
          <w:szCs w:val="22"/>
        </w:rPr>
        <w:t>(Grönroos and Voima, 2013)</w:t>
      </w:r>
      <w:r w:rsidRPr="0097670D">
        <w:rPr>
          <w:sz w:val="22"/>
          <w:szCs w:val="22"/>
        </w:rPr>
        <w:fldChar w:fldCharType="end"/>
      </w:r>
      <w:r w:rsidRPr="0097670D">
        <w:rPr>
          <w:sz w:val="22"/>
          <w:szCs w:val="22"/>
        </w:rPr>
        <w:t xml:space="preserve">. </w:t>
      </w:r>
      <w:bookmarkStart w:id="29" w:name="_Hlk52873675"/>
      <w:r w:rsidRPr="0097670D">
        <w:rPr>
          <w:sz w:val="22"/>
          <w:szCs w:val="22"/>
        </w:rPr>
        <w:t xml:space="preserve">From the results of this study, the longer the patient–physician relationship, the lower the risk of defensive behaviours. </w:t>
      </w:r>
      <w:bookmarkStart w:id="30" w:name="_Hlk61395474"/>
      <w:r w:rsidRPr="0097670D">
        <w:rPr>
          <w:sz w:val="22"/>
          <w:szCs w:val="22"/>
        </w:rPr>
        <w:t>This means that, in the case of patients with chronic diseases that go to the healthcare centre for periodic check-ins and care activities, it is recommended to schedule the patient’s visit in such a way that they always see the same doctor, and mutual trust can be achieved more easily. This will develop into a better patient–physician relationship over time. For this reason, in contexts where the margin of value co-creation is high, collaborative relationships are preferable to paternalistic ones, even though they both ensure a low risk of defensive medicine, since enhancing the patient’s awareness and engagement in the care process will result in better health outcomes.</w:t>
      </w:r>
      <w:bookmarkEnd w:id="29"/>
      <w:bookmarkEnd w:id="30"/>
    </w:p>
    <w:p w14:paraId="54936009" w14:textId="77777777" w:rsidR="002147D8" w:rsidRPr="0097670D" w:rsidRDefault="002147D8">
      <w:pPr>
        <w:pStyle w:val="Corpotesto"/>
        <w:spacing w:before="0" w:line="480" w:lineRule="auto"/>
        <w:rPr>
          <w:iCs/>
          <w:sz w:val="22"/>
          <w:szCs w:val="22"/>
          <w:lang w:val="en-US"/>
        </w:rPr>
      </w:pPr>
    </w:p>
    <w:p w14:paraId="34D81249" w14:textId="4928AF73" w:rsidR="002147D8" w:rsidRPr="0097670D" w:rsidRDefault="00890C24">
      <w:pPr>
        <w:pStyle w:val="Corpotesto"/>
        <w:spacing w:before="0" w:line="480" w:lineRule="auto"/>
        <w:rPr>
          <w:i/>
          <w:sz w:val="22"/>
          <w:szCs w:val="22"/>
        </w:rPr>
      </w:pPr>
      <w:r w:rsidRPr="0097670D">
        <w:rPr>
          <w:i/>
          <w:sz w:val="22"/>
          <w:szCs w:val="22"/>
        </w:rPr>
        <w:t>Limitations and Further Research</w:t>
      </w:r>
    </w:p>
    <w:p w14:paraId="60424C44" w14:textId="1E5540A5" w:rsidR="002147D8" w:rsidRPr="0097670D" w:rsidRDefault="00890C24">
      <w:pPr>
        <w:pStyle w:val="Corpotesto"/>
        <w:spacing w:before="0" w:line="480" w:lineRule="auto"/>
        <w:rPr>
          <w:sz w:val="22"/>
          <w:szCs w:val="22"/>
        </w:rPr>
      </w:pPr>
      <w:r w:rsidRPr="0097670D">
        <w:rPr>
          <w:sz w:val="22"/>
          <w:szCs w:val="22"/>
        </w:rPr>
        <w:t xml:space="preserve">One limitation of this study is its small sample size. </w:t>
      </w:r>
      <w:r w:rsidR="00FB1CCF" w:rsidRPr="0097670D">
        <w:rPr>
          <w:sz w:val="22"/>
          <w:szCs w:val="22"/>
        </w:rPr>
        <w:t>It</w:t>
      </w:r>
      <w:r w:rsidRPr="0097670D">
        <w:rPr>
          <w:sz w:val="22"/>
          <w:szCs w:val="22"/>
        </w:rPr>
        <w:t xml:space="preserve"> would have been preferable to interview more people in order to further validate the data obtained and eventually find divergences among </w:t>
      </w:r>
      <w:r w:rsidR="00176AA0" w:rsidRPr="0097670D">
        <w:rPr>
          <w:sz w:val="22"/>
          <w:szCs w:val="22"/>
        </w:rPr>
        <w:t>the identified characteristics</w:t>
      </w:r>
      <w:r w:rsidRPr="0097670D">
        <w:rPr>
          <w:sz w:val="22"/>
          <w:szCs w:val="22"/>
        </w:rPr>
        <w:t>. However, thanks to this, we were able to grasp the relevance of the healthcare context when studying phenomena like defensive medicine and value co-creation. Also, although we interviewed physicians belonging to different medical specialities and contexts, we were not able to conduct a cross-case analysis to confirm the specific roles and contributions of each specific medical speciality and context. Future research should investigate this issue further and, additionally, should consider other medical specialities that have not been analysed in this paper.</w:t>
      </w:r>
    </w:p>
    <w:p w14:paraId="6A74AD0F" w14:textId="707D2D5D" w:rsidR="002147D8" w:rsidRPr="0097670D" w:rsidRDefault="00890C24">
      <w:pPr>
        <w:pStyle w:val="Corpotesto"/>
        <w:spacing w:before="0" w:line="480" w:lineRule="auto"/>
        <w:ind w:firstLine="284"/>
        <w:rPr>
          <w:b/>
          <w:sz w:val="22"/>
          <w:szCs w:val="22"/>
        </w:rPr>
      </w:pPr>
      <w:r w:rsidRPr="0097670D">
        <w:rPr>
          <w:sz w:val="22"/>
          <w:szCs w:val="22"/>
        </w:rPr>
        <w:t>Since relationships are not static and a patient–physician relationship can evolve along different archetypes over time, future research should use more longitudinal studies to better capture the dynamics of the patient–physician relationship. For example, an initially informative relationship, due to the necessity of further clinical investigations, can turn collaborative or paternalistic if cancer or a chronic disease is found. This is because the frequent interactions with the doctor lead the development of the relationship.</w:t>
      </w:r>
    </w:p>
    <w:p w14:paraId="192008EB" w14:textId="4F1914B9" w:rsidR="002147D8" w:rsidRPr="0097670D" w:rsidRDefault="00890C24">
      <w:pPr>
        <w:pStyle w:val="Corpotesto"/>
        <w:spacing w:before="0" w:line="480" w:lineRule="auto"/>
        <w:ind w:firstLine="284"/>
        <w:rPr>
          <w:sz w:val="22"/>
          <w:szCs w:val="22"/>
        </w:rPr>
      </w:pPr>
      <w:r w:rsidRPr="0097670D">
        <w:rPr>
          <w:sz w:val="22"/>
          <w:szCs w:val="22"/>
        </w:rPr>
        <w:t xml:space="preserve">Lastly, we have observed a tremendous increase in the adoption of telehealth these days, with a massive spike in its use due to COVID-19. Telehealth is obviously changing the premises and </w:t>
      </w:r>
      <w:r w:rsidRPr="0097670D">
        <w:rPr>
          <w:sz w:val="22"/>
          <w:szCs w:val="22"/>
        </w:rPr>
        <w:lastRenderedPageBreak/>
        <w:t>bases of the patient–physician relationship, which is becoming increasingly virtual. Future research should definitively analyse how these technologies are influencing the patient–physician relationship, especially in terms of value co-creation and defensive medicine.</w:t>
      </w:r>
    </w:p>
    <w:p w14:paraId="103CD660" w14:textId="3C86E06D" w:rsidR="00686DE6" w:rsidRPr="0097670D" w:rsidRDefault="00686DE6">
      <w:pPr>
        <w:rPr>
          <w:sz w:val="22"/>
          <w:szCs w:val="22"/>
        </w:rPr>
      </w:pPr>
      <w:r w:rsidRPr="0097670D">
        <w:rPr>
          <w:sz w:val="22"/>
          <w:szCs w:val="22"/>
        </w:rPr>
        <w:br w:type="page"/>
      </w:r>
    </w:p>
    <w:p w14:paraId="227920B0" w14:textId="1060CFF8" w:rsidR="00FB1CCF" w:rsidRDefault="00FB1CCF" w:rsidP="00FB1CCF">
      <w:pPr>
        <w:pStyle w:val="Corpotesto"/>
        <w:spacing w:before="0"/>
        <w:rPr>
          <w:b/>
          <w:bCs/>
        </w:rPr>
      </w:pPr>
      <w:r w:rsidRPr="0097670D">
        <w:rPr>
          <w:b/>
          <w:bCs/>
        </w:rPr>
        <w:lastRenderedPageBreak/>
        <w:t>References</w:t>
      </w:r>
    </w:p>
    <w:p w14:paraId="6D171969" w14:textId="77777777" w:rsidR="00A42524" w:rsidRPr="0097670D" w:rsidRDefault="00A42524" w:rsidP="00FB1CCF">
      <w:pPr>
        <w:pStyle w:val="Corpotesto"/>
        <w:spacing w:before="0"/>
        <w:rPr>
          <w:b/>
          <w:bCs/>
        </w:rPr>
      </w:pPr>
    </w:p>
    <w:p w14:paraId="7E4C5973" w14:textId="66202DEB"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sz w:val="22"/>
          <w:szCs w:val="22"/>
        </w:rPr>
        <w:fldChar w:fldCharType="begin" w:fldLock="1"/>
      </w:r>
      <w:r w:rsidRPr="0097670D">
        <w:rPr>
          <w:sz w:val="22"/>
          <w:szCs w:val="22"/>
        </w:rPr>
        <w:instrText xml:space="preserve">ADDIN Mendeley Bibliography CSL_BIBLIOGRAPHY </w:instrText>
      </w:r>
      <w:r w:rsidRPr="0097670D">
        <w:rPr>
          <w:sz w:val="22"/>
          <w:szCs w:val="22"/>
        </w:rPr>
        <w:fldChar w:fldCharType="separate"/>
      </w:r>
      <w:r w:rsidRPr="0097670D">
        <w:rPr>
          <w:noProof/>
          <w:sz w:val="22"/>
        </w:rPr>
        <w:t xml:space="preserve">Anderson, L.A. and Zimmerman, M.A. (1993), “Patient and physician perceptions of their relationship and patient satisfaction: A study of chronic disease management”, </w:t>
      </w:r>
      <w:r w:rsidRPr="0097670D">
        <w:rPr>
          <w:i/>
          <w:iCs/>
          <w:noProof/>
          <w:sz w:val="22"/>
        </w:rPr>
        <w:t>Patient Education and Counseling</w:t>
      </w:r>
      <w:r w:rsidRPr="0097670D">
        <w:rPr>
          <w:noProof/>
          <w:sz w:val="22"/>
        </w:rPr>
        <w:t>, Vol. 20 No. 1, pp. 27–36.</w:t>
      </w:r>
    </w:p>
    <w:p w14:paraId="52109314"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Assing Hvidt, E., Bjørnskov Pedersen, L., Lykkegaard, J., Møller Pedersen, K. and Andersen, M.K. (2019), “A colonized general practice? A critical habermasian analysis of how general practitioners experience defensive medicine in their everyday working life”, </w:t>
      </w:r>
      <w:r w:rsidRPr="0097670D">
        <w:rPr>
          <w:i/>
          <w:iCs/>
          <w:noProof/>
          <w:sz w:val="22"/>
        </w:rPr>
        <w:t>Health (United Kingdom)</w:t>
      </w:r>
      <w:r w:rsidRPr="0097670D">
        <w:rPr>
          <w:noProof/>
          <w:sz w:val="22"/>
        </w:rPr>
        <w:t>, available at:https://doi.org/10.1177/1363459319857461.</w:t>
      </w:r>
    </w:p>
    <w:p w14:paraId="60E73B4F"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Barile, S., Saviano, M. and Polese, F. (2014), “Information asymmetry and co-creation in health care services”, </w:t>
      </w:r>
      <w:r w:rsidRPr="0097670D">
        <w:rPr>
          <w:i/>
          <w:iCs/>
          <w:noProof/>
          <w:sz w:val="22"/>
        </w:rPr>
        <w:t>Australasian Marketing Journal</w:t>
      </w:r>
      <w:r w:rsidRPr="0097670D">
        <w:rPr>
          <w:noProof/>
          <w:sz w:val="22"/>
        </w:rPr>
        <w:t>, Elsevier Australia, Vol. 22 No. 3, pp. 205–217.</w:t>
      </w:r>
    </w:p>
    <w:p w14:paraId="21DB25C2"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Batalden, M., Batalden, P., Margolis, P., Seid, M., Armstrong, G., Opipari-Arrigan, L. and Hartung, H. (2016), “Coproduction of healthcare service”, </w:t>
      </w:r>
      <w:r w:rsidRPr="0097670D">
        <w:rPr>
          <w:i/>
          <w:iCs/>
          <w:noProof/>
          <w:sz w:val="22"/>
        </w:rPr>
        <w:t>BMJ Quality and Safety</w:t>
      </w:r>
      <w:r w:rsidRPr="0097670D">
        <w:rPr>
          <w:noProof/>
          <w:sz w:val="22"/>
        </w:rPr>
        <w:t>, BMJ Publishing Group, Vol. 25 No. 7, pp. 509–517.</w:t>
      </w:r>
    </w:p>
    <w:p w14:paraId="6F445811"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Baungaard, N., Skovvang, P., Assing Hvidt, E., Gerbild, H., Kirstine Andersen, M. and Lykkegaard, J. (2020), “How defensive medicine is defined and understood in European medical literature: Protocol for a systematic review”, </w:t>
      </w:r>
      <w:r w:rsidRPr="0097670D">
        <w:rPr>
          <w:i/>
          <w:iCs/>
          <w:noProof/>
          <w:sz w:val="22"/>
        </w:rPr>
        <w:t>BMJ Open</w:t>
      </w:r>
      <w:r w:rsidRPr="0097670D">
        <w:rPr>
          <w:noProof/>
          <w:sz w:val="22"/>
        </w:rPr>
        <w:t>, Vol. 10 No. 2, pp. 1–4.</w:t>
      </w:r>
    </w:p>
    <w:p w14:paraId="2BF38727"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Beck, R.S., Daughtridge, R. and Sloane, P.D. (2002), “Physician-patient communication in the primary care office: A systematic review”, </w:t>
      </w:r>
      <w:r w:rsidRPr="0097670D">
        <w:rPr>
          <w:i/>
          <w:iCs/>
          <w:noProof/>
          <w:sz w:val="22"/>
        </w:rPr>
        <w:t>Journal of the American Board of Family Practice</w:t>
      </w:r>
      <w:r w:rsidRPr="0097670D">
        <w:rPr>
          <w:noProof/>
          <w:sz w:val="22"/>
        </w:rPr>
        <w:t>, Vol. 15 No. 1, pp. 25–38.</w:t>
      </w:r>
    </w:p>
    <w:p w14:paraId="3894AA20"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Berry, L.L. and Bendapudi, N. (2007), “Health care: A fertile field for service research”, </w:t>
      </w:r>
      <w:r w:rsidRPr="0097670D">
        <w:rPr>
          <w:i/>
          <w:iCs/>
          <w:noProof/>
          <w:sz w:val="22"/>
        </w:rPr>
        <w:t>Journal of Service Research</w:t>
      </w:r>
      <w:r w:rsidRPr="0097670D">
        <w:rPr>
          <w:noProof/>
          <w:sz w:val="22"/>
        </w:rPr>
        <w:t>, Vol. 10 No. 2, pp. 111–122.</w:t>
      </w:r>
    </w:p>
    <w:p w14:paraId="3A4F67FD"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Best, B., Moffett, S., Hannibal, C. and McAdam, R. (2018), “Examining networked NGO services: reconceptualising value co-creation”, </w:t>
      </w:r>
      <w:r w:rsidRPr="0097670D">
        <w:rPr>
          <w:i/>
          <w:iCs/>
          <w:noProof/>
          <w:sz w:val="22"/>
        </w:rPr>
        <w:t>International Journal of Operations and Production Management</w:t>
      </w:r>
      <w:r w:rsidRPr="0097670D">
        <w:rPr>
          <w:noProof/>
          <w:sz w:val="22"/>
        </w:rPr>
        <w:t>, Vol. 38 No. 7, pp. 1540–1561.</w:t>
      </w:r>
    </w:p>
    <w:p w14:paraId="13553100"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Bismark, M.M., Spittal, M.J., Gurrin, L.C., Ward, M. and Studdert, D.M. (2013), “Identification of doctors at risk of recurrent complaints: A national study of healthcare complaints in Australia”, </w:t>
      </w:r>
      <w:r w:rsidRPr="0097670D">
        <w:rPr>
          <w:i/>
          <w:iCs/>
          <w:noProof/>
          <w:sz w:val="22"/>
        </w:rPr>
        <w:t>BMJ Quality and Safety</w:t>
      </w:r>
      <w:r w:rsidRPr="0097670D">
        <w:rPr>
          <w:noProof/>
          <w:sz w:val="22"/>
        </w:rPr>
        <w:t>, Vol. 22 No. 7, pp. 532–540.</w:t>
      </w:r>
    </w:p>
    <w:p w14:paraId="4645898B"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Brody, H. (1987), “The Physician Patient Relationship:Models and Criticisms”, </w:t>
      </w:r>
      <w:r w:rsidRPr="0097670D">
        <w:rPr>
          <w:i/>
          <w:iCs/>
          <w:noProof/>
          <w:sz w:val="22"/>
        </w:rPr>
        <w:t>Theoretical Medicine</w:t>
      </w:r>
      <w:r w:rsidRPr="0097670D">
        <w:rPr>
          <w:noProof/>
          <w:sz w:val="22"/>
        </w:rPr>
        <w:t>, Vol. XXXIII No. 2, pp. 205–220.</w:t>
      </w:r>
    </w:p>
    <w:p w14:paraId="74BA6A57"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Calikoglu, E.O. and Aras, A. (2020), “Defensive medicine among different surgical disciplines: A descriptive cross-sectional study”, </w:t>
      </w:r>
      <w:r w:rsidRPr="0097670D">
        <w:rPr>
          <w:i/>
          <w:iCs/>
          <w:noProof/>
          <w:sz w:val="22"/>
        </w:rPr>
        <w:t>Journal of Forensic and Legal Medicine</w:t>
      </w:r>
      <w:r w:rsidRPr="0097670D">
        <w:rPr>
          <w:noProof/>
          <w:sz w:val="22"/>
        </w:rPr>
        <w:t>, Elsevier Ltd, Vol. 73 No. May, p. 101970.</w:t>
      </w:r>
    </w:p>
    <w:p w14:paraId="2E8E8B6F"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Chen, X.Y. (2007), “Defensive medicine or economically motivated corruption? A Confucian reflection on physician care in China today”, </w:t>
      </w:r>
      <w:r w:rsidRPr="0097670D">
        <w:rPr>
          <w:i/>
          <w:iCs/>
          <w:noProof/>
          <w:sz w:val="22"/>
        </w:rPr>
        <w:t>Journal of Medicine and Philosophy</w:t>
      </w:r>
      <w:r w:rsidRPr="0097670D">
        <w:rPr>
          <w:noProof/>
          <w:sz w:val="22"/>
        </w:rPr>
        <w:t>, Vol. 32 No. 6, pp. 635–648.</w:t>
      </w:r>
    </w:p>
    <w:p w14:paraId="2D87F6AB"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lastRenderedPageBreak/>
        <w:t xml:space="preserve">Corbin, J. and Strauss, A. (2008), </w:t>
      </w:r>
      <w:r w:rsidRPr="0097670D">
        <w:rPr>
          <w:i/>
          <w:iCs/>
          <w:noProof/>
          <w:sz w:val="22"/>
        </w:rPr>
        <w:t>Basics of Qualitative Research (3rd Ed.): Techniques and Procedures for Developing Grounded Theory</w:t>
      </w:r>
      <w:r w:rsidRPr="0097670D">
        <w:rPr>
          <w:noProof/>
          <w:sz w:val="22"/>
        </w:rPr>
        <w:t xml:space="preserve">, </w:t>
      </w:r>
      <w:r w:rsidRPr="0097670D">
        <w:rPr>
          <w:i/>
          <w:iCs/>
          <w:noProof/>
          <w:sz w:val="22"/>
        </w:rPr>
        <w:t>SAGE Publications, Inc.</w:t>
      </w:r>
      <w:r w:rsidRPr="0097670D">
        <w:rPr>
          <w:noProof/>
          <w:sz w:val="22"/>
        </w:rPr>
        <w:t>, SAGE Publications, Inc.</w:t>
      </w:r>
    </w:p>
    <w:p w14:paraId="540ED3B0"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Damali, U., Miller, J.L., Fredendall, L.D., Moore, D.W. and Dye, C.J. (2016), “Co-creating value using customer training and education in a healthcare service design”, </w:t>
      </w:r>
      <w:r w:rsidRPr="0097670D">
        <w:rPr>
          <w:i/>
          <w:iCs/>
          <w:noProof/>
          <w:sz w:val="22"/>
        </w:rPr>
        <w:t>Journal of Operations Management</w:t>
      </w:r>
      <w:r w:rsidRPr="0097670D">
        <w:rPr>
          <w:noProof/>
          <w:sz w:val="22"/>
        </w:rPr>
        <w:t>, Elsevier B.V., Vol. 47–48, pp. 80–97.</w:t>
      </w:r>
    </w:p>
    <w:p w14:paraId="57DBF169"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Deber, R.B. (1994), “Physicians in health care management: 7. The patient-physician partnership: Changing roles and the desire for information”, </w:t>
      </w:r>
      <w:r w:rsidRPr="0097670D">
        <w:rPr>
          <w:i/>
          <w:iCs/>
          <w:noProof/>
          <w:sz w:val="22"/>
        </w:rPr>
        <w:t>Canadian Medical Association Journal</w:t>
      </w:r>
      <w:r w:rsidRPr="0097670D">
        <w:rPr>
          <w:noProof/>
          <w:sz w:val="22"/>
        </w:rPr>
        <w:t>, Vol. 151 No. 2, pp. 171–176.</w:t>
      </w:r>
    </w:p>
    <w:p w14:paraId="2BC92742"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Eitel, D.R., Rudkin, S.E., Malvehy, M.A., Killeen, J.P. and Pines, J.M. (2010), “Improving Service Quality by Understanding Emergency Department Flow: A White Paper and Position Statement Prepared For the American Academy of Emergency Medicine”, </w:t>
      </w:r>
      <w:r w:rsidRPr="0097670D">
        <w:rPr>
          <w:i/>
          <w:iCs/>
          <w:noProof/>
          <w:sz w:val="22"/>
        </w:rPr>
        <w:t>Journal of Emergency Medicine</w:t>
      </w:r>
      <w:r w:rsidRPr="0097670D">
        <w:rPr>
          <w:noProof/>
          <w:sz w:val="22"/>
        </w:rPr>
        <w:t>, Elsevier Inc., Vol. 38 No. 1, pp. 70–79.</w:t>
      </w:r>
    </w:p>
    <w:p w14:paraId="5EF3C7D8"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Elf, M., Flink, M., Nilsson, M., Tistad, M., Von Koch, L. and Ytterberg, C. (2017), “The case of value-based healthcare for people living with complex long-term conditions”, </w:t>
      </w:r>
      <w:r w:rsidRPr="0097670D">
        <w:rPr>
          <w:i/>
          <w:iCs/>
          <w:noProof/>
          <w:sz w:val="22"/>
        </w:rPr>
        <w:t>BMC Health Services Research</w:t>
      </w:r>
      <w:r w:rsidRPr="0097670D">
        <w:rPr>
          <w:noProof/>
          <w:sz w:val="22"/>
        </w:rPr>
        <w:t>, BioMed Central Ltd., Vol. 17 No. 1, pp. 1–6.</w:t>
      </w:r>
    </w:p>
    <w:p w14:paraId="4946A480"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Elg, M., Engström, J., Witell, L. and Poksinska, B. (2012), “Co-creation and learning in health-care service development”, </w:t>
      </w:r>
      <w:r w:rsidRPr="0097670D">
        <w:rPr>
          <w:i/>
          <w:iCs/>
          <w:noProof/>
          <w:sz w:val="22"/>
        </w:rPr>
        <w:t>Journal of Service Management</w:t>
      </w:r>
      <w:r w:rsidRPr="0097670D">
        <w:rPr>
          <w:noProof/>
          <w:sz w:val="22"/>
        </w:rPr>
        <w:t>, Vol. 23 No. 3, pp. 328–343.</w:t>
      </w:r>
    </w:p>
    <w:p w14:paraId="3621A615"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Emanuel, E.J. and Emanuel, L.L. (1992), “Four Models of the Physician-Patient Relationship”, </w:t>
      </w:r>
      <w:r w:rsidRPr="0097670D">
        <w:rPr>
          <w:i/>
          <w:iCs/>
          <w:noProof/>
          <w:sz w:val="22"/>
        </w:rPr>
        <w:t>JAMA: The Journal of the American Medical Association</w:t>
      </w:r>
      <w:r w:rsidRPr="0097670D">
        <w:rPr>
          <w:noProof/>
          <w:sz w:val="22"/>
        </w:rPr>
        <w:t>, Vol. 267 No. 16, pp. 2221–2226.</w:t>
      </w:r>
    </w:p>
    <w:p w14:paraId="43ED3677"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Entwistle, V.A. and Watt, I.S. (2006), “Patient involvement in treatment decision-making: The case for a broader conceptual framework”, </w:t>
      </w:r>
      <w:r w:rsidRPr="0097670D">
        <w:rPr>
          <w:i/>
          <w:iCs/>
          <w:noProof/>
          <w:sz w:val="22"/>
        </w:rPr>
        <w:t>Patient Education and Counseling</w:t>
      </w:r>
      <w:r w:rsidRPr="0097670D">
        <w:rPr>
          <w:noProof/>
          <w:sz w:val="22"/>
        </w:rPr>
        <w:t>, Elsevier Ireland Ltd, Vol. 63 No. 3 SPEC. ISS., pp. 268–278.</w:t>
      </w:r>
    </w:p>
    <w:p w14:paraId="7E4F4DF7"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Epstein, R.M., Franks, P., Fiscella, K., Shields, C.G., Meldrum, S.C., Kravitz, R.L. and Duberstein, P.R. (2005), “Measuring patient-centered communication in Patient-Physician consultations: Theoretical and practical issues”, </w:t>
      </w:r>
      <w:r w:rsidRPr="0097670D">
        <w:rPr>
          <w:i/>
          <w:iCs/>
          <w:noProof/>
          <w:sz w:val="22"/>
        </w:rPr>
        <w:t>Social Science and Medicine</w:t>
      </w:r>
      <w:r w:rsidRPr="0097670D">
        <w:rPr>
          <w:noProof/>
          <w:sz w:val="22"/>
        </w:rPr>
        <w:t>, Vol. 61 No. 7, pp. 1516–1528.</w:t>
      </w:r>
    </w:p>
    <w:p w14:paraId="436EFBA9"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Evidence-Based Medicine Working Group. (1992), “Evidence-based medicine. A new approach to teaching the practice of medicine.”, </w:t>
      </w:r>
      <w:r w:rsidRPr="0097670D">
        <w:rPr>
          <w:i/>
          <w:iCs/>
          <w:noProof/>
          <w:sz w:val="22"/>
        </w:rPr>
        <w:t>Journal of American Medical Association</w:t>
      </w:r>
      <w:r w:rsidRPr="0097670D">
        <w:rPr>
          <w:noProof/>
          <w:sz w:val="22"/>
        </w:rPr>
        <w:t>, Vol. 268 No. 17, pp. 2420–2425.</w:t>
      </w:r>
    </w:p>
    <w:p w14:paraId="13B950D9"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Fiscella, K., Meldrum, S., Franks, P., Shields, C.G., Duberstein, P., McDaniel, S.H. and Epstein, R.M. (2004), “Patient trust: Is it related to patient-centered behavior of primary care physicians?”, </w:t>
      </w:r>
      <w:r w:rsidRPr="0097670D">
        <w:rPr>
          <w:i/>
          <w:iCs/>
          <w:noProof/>
          <w:sz w:val="22"/>
        </w:rPr>
        <w:t>Medical Care</w:t>
      </w:r>
      <w:r w:rsidRPr="0097670D">
        <w:rPr>
          <w:noProof/>
          <w:sz w:val="22"/>
        </w:rPr>
        <w:t>, Vol. 42 No. 11, pp. 1049–1055.</w:t>
      </w:r>
    </w:p>
    <w:p w14:paraId="475F4F20"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Garattini, L. and Padula, A. (2020), “Defensive medicine in Europe: a ‘full circle’?”, </w:t>
      </w:r>
      <w:r w:rsidRPr="0097670D">
        <w:rPr>
          <w:i/>
          <w:iCs/>
          <w:noProof/>
          <w:sz w:val="22"/>
        </w:rPr>
        <w:t>European Journal of Health Economics</w:t>
      </w:r>
      <w:r w:rsidRPr="0097670D">
        <w:rPr>
          <w:noProof/>
          <w:sz w:val="22"/>
        </w:rPr>
        <w:t>, Springer Berlin Heidelberg, Vol. 21 No. 2, pp. 165–170.</w:t>
      </w:r>
    </w:p>
    <w:p w14:paraId="2E6B649B"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Glass, R.M. (1996), “Patient-Physician Relationship”, </w:t>
      </w:r>
      <w:r w:rsidRPr="0097670D">
        <w:rPr>
          <w:i/>
          <w:iCs/>
          <w:noProof/>
          <w:sz w:val="22"/>
        </w:rPr>
        <w:t>Journal of American Medical Association</w:t>
      </w:r>
      <w:r w:rsidRPr="0097670D">
        <w:rPr>
          <w:noProof/>
          <w:sz w:val="22"/>
        </w:rPr>
        <w:t>, Vol. 275 No. 2, pp. 147–148.</w:t>
      </w:r>
    </w:p>
    <w:p w14:paraId="68FF49F3"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lastRenderedPageBreak/>
        <w:t xml:space="preserve">Grönroos, C. and Voima, P. (2013), “Critical service logic: Making sense of value creation and co-creation”, </w:t>
      </w:r>
      <w:r w:rsidRPr="0097670D">
        <w:rPr>
          <w:i/>
          <w:iCs/>
          <w:noProof/>
          <w:sz w:val="22"/>
        </w:rPr>
        <w:t>Journal of the Academy of Marketing Science</w:t>
      </w:r>
      <w:r w:rsidRPr="0097670D">
        <w:rPr>
          <w:noProof/>
          <w:sz w:val="22"/>
        </w:rPr>
        <w:t>, Vol. 41 No. 2, pp. 133–150.</w:t>
      </w:r>
    </w:p>
    <w:p w14:paraId="24C4DF99"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Guadagnoli, E. and Ward, P. (1998), </w:t>
      </w:r>
      <w:r w:rsidRPr="0097670D">
        <w:rPr>
          <w:i/>
          <w:iCs/>
          <w:noProof/>
          <w:sz w:val="22"/>
        </w:rPr>
        <w:t>Patient Participation in Decision-Making</w:t>
      </w:r>
      <w:r w:rsidRPr="0097670D">
        <w:rPr>
          <w:noProof/>
          <w:sz w:val="22"/>
        </w:rPr>
        <w:t xml:space="preserve">, </w:t>
      </w:r>
      <w:r w:rsidRPr="0097670D">
        <w:rPr>
          <w:i/>
          <w:iCs/>
          <w:noProof/>
          <w:sz w:val="22"/>
        </w:rPr>
        <w:t>Social Science and Medicine</w:t>
      </w:r>
      <w:r w:rsidRPr="0097670D">
        <w:rPr>
          <w:noProof/>
          <w:sz w:val="22"/>
        </w:rPr>
        <w:t>, Vol. 47, available at:https://doi.org/10.1016/S0277-9536(98)00059-8.</w:t>
      </w:r>
    </w:p>
    <w:p w14:paraId="2FC2AEC6"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Gummesson, E. (2007), “Exit services marketing - enter service marketing”, </w:t>
      </w:r>
      <w:r w:rsidRPr="0097670D">
        <w:rPr>
          <w:i/>
          <w:iCs/>
          <w:noProof/>
          <w:sz w:val="22"/>
        </w:rPr>
        <w:t>Journal of Customer Behaviour</w:t>
      </w:r>
      <w:r w:rsidRPr="0097670D">
        <w:rPr>
          <w:noProof/>
          <w:sz w:val="22"/>
        </w:rPr>
        <w:t>, Vol. 6 No. 2, pp. 113–141.</w:t>
      </w:r>
    </w:p>
    <w:p w14:paraId="5AB7B2A0"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Halpern, J. (2007), “Empathy and patient-physician conflicts”, </w:t>
      </w:r>
      <w:r w:rsidRPr="0097670D">
        <w:rPr>
          <w:i/>
          <w:iCs/>
          <w:noProof/>
          <w:sz w:val="22"/>
        </w:rPr>
        <w:t>Journal of General Internal Medicine</w:t>
      </w:r>
      <w:r w:rsidRPr="0097670D">
        <w:rPr>
          <w:noProof/>
          <w:sz w:val="22"/>
        </w:rPr>
        <w:t>, Vol. 22 No. 5, pp. 696–700.</w:t>
      </w:r>
    </w:p>
    <w:p w14:paraId="544C9604"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Hardyman, W., Daunt, K.L. and Kitchener, M. (2015), “Value Co-Creation through Patient Engagement in Health Care: A micro-level approach and research agenda”, </w:t>
      </w:r>
      <w:r w:rsidRPr="0097670D">
        <w:rPr>
          <w:i/>
          <w:iCs/>
          <w:noProof/>
          <w:sz w:val="22"/>
        </w:rPr>
        <w:t>Public Management Review</w:t>
      </w:r>
      <w:r w:rsidRPr="0097670D">
        <w:rPr>
          <w:noProof/>
          <w:sz w:val="22"/>
        </w:rPr>
        <w:t>, Taylor and Francis Ltd., Vol. 17 No. 1, pp. 90–107.</w:t>
      </w:r>
    </w:p>
    <w:p w14:paraId="1923F4E4"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He, A.J. (2014), “The doctor-patient relationship, defensive medicine and overprescription in Chinese public hospitals: Evidence from a cross-sectional survey in Shenzhen city”, </w:t>
      </w:r>
      <w:r w:rsidRPr="0097670D">
        <w:rPr>
          <w:i/>
          <w:iCs/>
          <w:noProof/>
          <w:sz w:val="22"/>
        </w:rPr>
        <w:t>Social Science and Medicine</w:t>
      </w:r>
      <w:r w:rsidRPr="0097670D">
        <w:rPr>
          <w:noProof/>
          <w:sz w:val="22"/>
        </w:rPr>
        <w:t>, Elsevier Ltd, Vol. 123, pp. 64–71.</w:t>
      </w:r>
    </w:p>
    <w:p w14:paraId="137695B7"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Helkkula, A., Kelleher, C. and Pihlström, M. (2012), “Characterizing Value as an Experience: Implications for Service Researchers and Managers”, </w:t>
      </w:r>
      <w:r w:rsidRPr="0097670D">
        <w:rPr>
          <w:i/>
          <w:iCs/>
          <w:noProof/>
          <w:sz w:val="22"/>
        </w:rPr>
        <w:t>Journal of Service Research</w:t>
      </w:r>
      <w:r w:rsidRPr="0097670D">
        <w:rPr>
          <w:noProof/>
          <w:sz w:val="22"/>
        </w:rPr>
        <w:t>, Vol. 15 No. 1, pp. 59–75.</w:t>
      </w:r>
    </w:p>
    <w:p w14:paraId="475A3A83"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Hermer, L.D. and Brody, H. (2010), “Defensive medicine, cost containment, and reform”, </w:t>
      </w:r>
      <w:r w:rsidRPr="0097670D">
        <w:rPr>
          <w:i/>
          <w:iCs/>
          <w:noProof/>
          <w:sz w:val="22"/>
        </w:rPr>
        <w:t>Journal of General Internal Medicine</w:t>
      </w:r>
      <w:r w:rsidRPr="0097670D">
        <w:rPr>
          <w:noProof/>
          <w:sz w:val="22"/>
        </w:rPr>
        <w:t>, Vol. 25 No. 5, pp. 470–473.</w:t>
      </w:r>
    </w:p>
    <w:p w14:paraId="6B8393CC"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Hershey, N. (1972), “The defensive practice of medicine. Myth or reality.”, </w:t>
      </w:r>
      <w:r w:rsidRPr="0097670D">
        <w:rPr>
          <w:i/>
          <w:iCs/>
          <w:noProof/>
          <w:sz w:val="22"/>
        </w:rPr>
        <w:t>The Milbank Memorial Fund Quarterly</w:t>
      </w:r>
      <w:r w:rsidRPr="0097670D">
        <w:rPr>
          <w:noProof/>
          <w:sz w:val="22"/>
        </w:rPr>
        <w:t>.</w:t>
      </w:r>
    </w:p>
    <w:p w14:paraId="31C9DBA4"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Hiyama, T., Yoshihara, M., Tanaka, S., Urabe, Y., Ikegami, Y., Fukuhara, T. and Chayama, K. (2006), “Defensive medicine practices among gastroenterologists in Japan”, </w:t>
      </w:r>
      <w:r w:rsidRPr="0097670D">
        <w:rPr>
          <w:i/>
          <w:iCs/>
          <w:noProof/>
          <w:sz w:val="22"/>
        </w:rPr>
        <w:t>World Journal of Gastroenterology</w:t>
      </w:r>
      <w:r w:rsidRPr="0097670D">
        <w:rPr>
          <w:noProof/>
          <w:sz w:val="22"/>
        </w:rPr>
        <w:t>, Vol. 12 No. 47, pp. 7671–7675.</w:t>
      </w:r>
    </w:p>
    <w:p w14:paraId="27FBF706"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Hui EC. (2005), “The centrality of patient-physician relationship to medical professionalism: An ethical evaluation of some contemporary models”, </w:t>
      </w:r>
      <w:r w:rsidRPr="0097670D">
        <w:rPr>
          <w:i/>
          <w:iCs/>
          <w:noProof/>
          <w:sz w:val="22"/>
        </w:rPr>
        <w:t>Hong Kong Medical Journal</w:t>
      </w:r>
      <w:r w:rsidRPr="0097670D">
        <w:rPr>
          <w:noProof/>
          <w:sz w:val="22"/>
        </w:rPr>
        <w:t>, Vol. 11 No. 3, pp. 222–223.</w:t>
      </w:r>
    </w:p>
    <w:p w14:paraId="08406FDC"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Ishikawa, H., Hashimoto, H. and Kiuchi, T. (2013), “The evolving concept of ‘patient-centeredness’ in patient-physician communication research”, </w:t>
      </w:r>
      <w:r w:rsidRPr="0097670D">
        <w:rPr>
          <w:i/>
          <w:iCs/>
          <w:noProof/>
          <w:sz w:val="22"/>
        </w:rPr>
        <w:t>Social Science and Medicine</w:t>
      </w:r>
      <w:r w:rsidRPr="0097670D">
        <w:rPr>
          <w:noProof/>
          <w:sz w:val="22"/>
        </w:rPr>
        <w:t>, Elsevier Ltd, Vol. 96, pp. 147–153.</w:t>
      </w:r>
    </w:p>
    <w:p w14:paraId="2B0FF3C2"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Jahng, K.H., Martin, L.R., Golin, C.E. and DiMatteo, M.R. (2005), “Preferences for medical collaboration: Patient-physician congruence and patient outcomes”, </w:t>
      </w:r>
      <w:r w:rsidRPr="0097670D">
        <w:rPr>
          <w:i/>
          <w:iCs/>
          <w:noProof/>
          <w:sz w:val="22"/>
        </w:rPr>
        <w:t>Patient Education and Counseling</w:t>
      </w:r>
      <w:r w:rsidRPr="0097670D">
        <w:rPr>
          <w:noProof/>
          <w:sz w:val="22"/>
        </w:rPr>
        <w:t>, Vol. 57 No. 3, pp. 308–314.</w:t>
      </w:r>
    </w:p>
    <w:p w14:paraId="1E073318"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Joiner, K. and Lusch, R. (2016), “Evolving to a new service-dominant logic for health care”, </w:t>
      </w:r>
      <w:r w:rsidRPr="0097670D">
        <w:rPr>
          <w:i/>
          <w:iCs/>
          <w:noProof/>
          <w:sz w:val="22"/>
        </w:rPr>
        <w:t>Innovation and Entrepreneurship in Health</w:t>
      </w:r>
      <w:r w:rsidRPr="0097670D">
        <w:rPr>
          <w:noProof/>
          <w:sz w:val="22"/>
        </w:rPr>
        <w:t>, p. 25.</w:t>
      </w:r>
    </w:p>
    <w:p w14:paraId="153FDC7D"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Laine, C. and Davidoff, F. (1996), “Patient-centered medicine. A professional evolution”, </w:t>
      </w:r>
      <w:r w:rsidRPr="0097670D">
        <w:rPr>
          <w:i/>
          <w:iCs/>
          <w:noProof/>
          <w:sz w:val="22"/>
        </w:rPr>
        <w:t>Journal of the American Medical Association</w:t>
      </w:r>
      <w:r w:rsidRPr="0097670D">
        <w:rPr>
          <w:noProof/>
          <w:sz w:val="22"/>
        </w:rPr>
        <w:t>, Vol. 275 No. 2, pp. 152–156.</w:t>
      </w:r>
    </w:p>
    <w:p w14:paraId="4DFA66CD"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lastRenderedPageBreak/>
        <w:t xml:space="preserve">Larson, E.B. and Yao, X. (2005), “Clinical empathy as emotional labor in the patient-physician relationship”, </w:t>
      </w:r>
      <w:r w:rsidRPr="0097670D">
        <w:rPr>
          <w:i/>
          <w:iCs/>
          <w:noProof/>
          <w:sz w:val="22"/>
        </w:rPr>
        <w:t>Journal of the American Medical Association</w:t>
      </w:r>
      <w:r w:rsidRPr="0097670D">
        <w:rPr>
          <w:noProof/>
          <w:sz w:val="22"/>
        </w:rPr>
        <w:t>, Vol. 293 No. 9, pp. 1100–1106.</w:t>
      </w:r>
    </w:p>
    <w:p w14:paraId="1A469394"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Maguire, B.J., O’Meara, P., O’Neill, B.J. and Brightwell, R. (2018), “Violence against emergency medical services personnel: A systematic review of the literature”, </w:t>
      </w:r>
      <w:r w:rsidRPr="0097670D">
        <w:rPr>
          <w:i/>
          <w:iCs/>
          <w:noProof/>
          <w:sz w:val="22"/>
        </w:rPr>
        <w:t>American Journal of Industrial Medicine</w:t>
      </w:r>
      <w:r w:rsidRPr="0097670D">
        <w:rPr>
          <w:noProof/>
          <w:sz w:val="22"/>
        </w:rPr>
        <w:t>, Vol. 61 No. 2, pp. 167–180.</w:t>
      </w:r>
    </w:p>
    <w:p w14:paraId="209844B9"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McColl-Kennedy, J.R., Vargo, S.L., Dagger, T.S., Sweeney, J.C. and van Kasteren, Y. (2012), “Health Care Customer Value Cocreation Practice Styles”, </w:t>
      </w:r>
      <w:r w:rsidRPr="0097670D">
        <w:rPr>
          <w:i/>
          <w:iCs/>
          <w:noProof/>
          <w:sz w:val="22"/>
        </w:rPr>
        <w:t>Journal of Service Research</w:t>
      </w:r>
      <w:r w:rsidRPr="0097670D">
        <w:rPr>
          <w:noProof/>
          <w:sz w:val="22"/>
        </w:rPr>
        <w:t>, Vol. 15 No. 4, pp. 370–389.</w:t>
      </w:r>
    </w:p>
    <w:p w14:paraId="0C912A47"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Miró, Ò., Antonio, M.T., Jiménez, S., De Dios, A., Sánchez, M., Borrás, A. and Millá, J. (1999), “Decreased health care quality associated with emergency department overcrowding”, </w:t>
      </w:r>
      <w:r w:rsidRPr="0097670D">
        <w:rPr>
          <w:i/>
          <w:iCs/>
          <w:noProof/>
          <w:sz w:val="22"/>
        </w:rPr>
        <w:t>European Journal of Emergency Medicine: Official Journal of the European Society for Emergency Medicine</w:t>
      </w:r>
      <w:r w:rsidRPr="0097670D">
        <w:rPr>
          <w:noProof/>
          <w:sz w:val="22"/>
        </w:rPr>
        <w:t>, Vol. 6 No. 2, pp. 105–107.</w:t>
      </w:r>
    </w:p>
    <w:p w14:paraId="380F9AB1"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Osei-Frimpong, K., Wilson, A. and Owusu-Frimpong, N. (2015), “Service experiences and dyadic value co-creation in healthcare service delivery: A CIT approach”, </w:t>
      </w:r>
      <w:r w:rsidRPr="0097670D">
        <w:rPr>
          <w:i/>
          <w:iCs/>
          <w:noProof/>
          <w:sz w:val="22"/>
        </w:rPr>
        <w:t>Journal of Service Theory and Practice</w:t>
      </w:r>
      <w:r w:rsidRPr="0097670D">
        <w:rPr>
          <w:noProof/>
          <w:sz w:val="22"/>
        </w:rPr>
        <w:t>, Emerald Group Publishing Ltd., Vol. 25 No. 4, pp. 443–462.</w:t>
      </w:r>
    </w:p>
    <w:p w14:paraId="49AE5B48"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Ouschan, R., Sweeney, J. and Johnson, L. (2006), “Customer empowerment and relationship outcomes in healthcare consultations”, </w:t>
      </w:r>
      <w:r w:rsidRPr="0097670D">
        <w:rPr>
          <w:i/>
          <w:iCs/>
          <w:noProof/>
          <w:sz w:val="22"/>
        </w:rPr>
        <w:t>European Journal of Marketing</w:t>
      </w:r>
      <w:r w:rsidRPr="0097670D">
        <w:rPr>
          <w:noProof/>
          <w:sz w:val="22"/>
        </w:rPr>
        <w:t>, Vol. 40 No. 9–10, pp. 1068–1086.</w:t>
      </w:r>
    </w:p>
    <w:p w14:paraId="40F0B0F9"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lang w:val="it-IT"/>
        </w:rPr>
        <w:t xml:space="preserve">Panella, M., Rinaldi, C., Leigheb, F., Knesse, S., Donnarumma, C., Kul, S., Vanhaecht, K., et al. </w:t>
      </w:r>
      <w:r w:rsidRPr="0097670D">
        <w:rPr>
          <w:noProof/>
          <w:sz w:val="22"/>
        </w:rPr>
        <w:t xml:space="preserve">(2017), “Prevalence and costs of defensive medicine: A national survey of Italian physicians”, </w:t>
      </w:r>
      <w:r w:rsidRPr="0097670D">
        <w:rPr>
          <w:i/>
          <w:iCs/>
          <w:noProof/>
          <w:sz w:val="22"/>
        </w:rPr>
        <w:t>Journal of Health Services Research and Policy</w:t>
      </w:r>
      <w:r w:rsidRPr="0097670D">
        <w:rPr>
          <w:noProof/>
          <w:sz w:val="22"/>
        </w:rPr>
        <w:t>, Vol. 22 No. 4, pp. 211–217.</w:t>
      </w:r>
    </w:p>
    <w:p w14:paraId="6CC215CC"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Payne, A.F., Storbacka, K. and Frow, P. (2008), “Managing the co-creation of value”, </w:t>
      </w:r>
      <w:r w:rsidRPr="0097670D">
        <w:rPr>
          <w:i/>
          <w:iCs/>
          <w:noProof/>
          <w:sz w:val="22"/>
        </w:rPr>
        <w:t>Journal of the Academy of Marketing Science</w:t>
      </w:r>
      <w:r w:rsidRPr="0097670D">
        <w:rPr>
          <w:noProof/>
          <w:sz w:val="22"/>
        </w:rPr>
        <w:t>, Vol. 36 No. 1, pp. 83–96.</w:t>
      </w:r>
    </w:p>
    <w:p w14:paraId="6CCB2F0A"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Pellino, I.M. and Pellino, G. (2015), “Consequences of defensive medicine, second victims, and clinical-judicial syndrome on surgeons’ medical practice and on health service”, </w:t>
      </w:r>
      <w:r w:rsidRPr="0097670D">
        <w:rPr>
          <w:i/>
          <w:iCs/>
          <w:noProof/>
          <w:sz w:val="22"/>
        </w:rPr>
        <w:t>Updates in Surgery</w:t>
      </w:r>
      <w:r w:rsidRPr="0097670D">
        <w:rPr>
          <w:noProof/>
          <w:sz w:val="22"/>
        </w:rPr>
        <w:t>, Springer Milan, Vol. 67 No. 4, pp. 331–337.</w:t>
      </w:r>
    </w:p>
    <w:p w14:paraId="49D87D41"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Plebani, M. (2014), “Defensive medicine and diagnostic testing”, </w:t>
      </w:r>
      <w:r w:rsidRPr="0097670D">
        <w:rPr>
          <w:i/>
          <w:iCs/>
          <w:noProof/>
          <w:sz w:val="22"/>
        </w:rPr>
        <w:t>Diagnosis</w:t>
      </w:r>
      <w:r w:rsidRPr="0097670D">
        <w:rPr>
          <w:noProof/>
          <w:sz w:val="22"/>
        </w:rPr>
        <w:t>, Walter de Gruyter GmbH, Vol. 1 No. 2, pp. 151–154.</w:t>
      </w:r>
    </w:p>
    <w:p w14:paraId="114A12BD"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Porter, M.E. (2010), </w:t>
      </w:r>
      <w:r w:rsidRPr="0097670D">
        <w:rPr>
          <w:i/>
          <w:iCs/>
          <w:noProof/>
          <w:sz w:val="22"/>
        </w:rPr>
        <w:t>What Is Value in Health Care?</w:t>
      </w:r>
      <w:r w:rsidRPr="0097670D">
        <w:rPr>
          <w:noProof/>
          <w:sz w:val="22"/>
        </w:rPr>
        <w:t xml:space="preserve">, </w:t>
      </w:r>
      <w:r w:rsidRPr="0097670D">
        <w:rPr>
          <w:i/>
          <w:iCs/>
          <w:noProof/>
          <w:sz w:val="22"/>
        </w:rPr>
        <w:t>New England Journal of Medicine</w:t>
      </w:r>
      <w:r w:rsidRPr="0097670D">
        <w:rPr>
          <w:noProof/>
          <w:sz w:val="22"/>
        </w:rPr>
        <w:t>, Vol. 363, available at:https://doi.org/10.1056/nejmc1101108.</w:t>
      </w:r>
    </w:p>
    <w:p w14:paraId="61BD9441"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Prahalad, C.K. and Ramaswamy, V. (2004), </w:t>
      </w:r>
      <w:r w:rsidRPr="0097670D">
        <w:rPr>
          <w:i/>
          <w:iCs/>
          <w:noProof/>
          <w:sz w:val="22"/>
        </w:rPr>
        <w:t>Co-Creating Unique Value with Customers</w:t>
      </w:r>
      <w:r w:rsidRPr="0097670D">
        <w:rPr>
          <w:noProof/>
          <w:sz w:val="22"/>
        </w:rPr>
        <w:t xml:space="preserve">, </w:t>
      </w:r>
      <w:r w:rsidRPr="0097670D">
        <w:rPr>
          <w:i/>
          <w:iCs/>
          <w:noProof/>
          <w:sz w:val="22"/>
        </w:rPr>
        <w:t>Strategy &amp; Leadership</w:t>
      </w:r>
      <w:r w:rsidRPr="0097670D">
        <w:rPr>
          <w:noProof/>
          <w:sz w:val="22"/>
        </w:rPr>
        <w:t>, Vol. 32, available at:https://doi.org/10.1108/10878570410699249.</w:t>
      </w:r>
    </w:p>
    <w:p w14:paraId="40ED7946"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Ramaswamy, V. (2011), “It’s about human experiences...and beyond, to co-creation”, </w:t>
      </w:r>
      <w:r w:rsidRPr="0097670D">
        <w:rPr>
          <w:i/>
          <w:iCs/>
          <w:noProof/>
          <w:sz w:val="22"/>
        </w:rPr>
        <w:t>Industrial Marketing Management</w:t>
      </w:r>
      <w:r w:rsidRPr="0097670D">
        <w:rPr>
          <w:noProof/>
          <w:sz w:val="22"/>
        </w:rPr>
        <w:t>, Elsevier Inc., Vol. 40 No. 2, pp. 195–196.</w:t>
      </w:r>
    </w:p>
    <w:p w14:paraId="71524F57"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Ramella, S., Mandoliti, G., Trodella, L. and D’Angelillo, R.M. (2015), “The first survey on defensive medicine in radiation oncology”, </w:t>
      </w:r>
      <w:r w:rsidRPr="0097670D">
        <w:rPr>
          <w:i/>
          <w:iCs/>
          <w:noProof/>
          <w:sz w:val="22"/>
        </w:rPr>
        <w:t>Radiologia Medica</w:t>
      </w:r>
      <w:r w:rsidRPr="0097670D">
        <w:rPr>
          <w:noProof/>
          <w:sz w:val="22"/>
        </w:rPr>
        <w:t>, Vol. 120 No. 5, pp. 421–429.</w:t>
      </w:r>
    </w:p>
    <w:p w14:paraId="7DBA9F6F"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lastRenderedPageBreak/>
        <w:t xml:space="preserve">Renkema, E., Ahaus, K., Broekhuis, M. and Tims, M. (2019), “Triggers of defensive medical behaviours: A cross-sectional study among physicians in the Netherlands”, </w:t>
      </w:r>
      <w:r w:rsidRPr="0097670D">
        <w:rPr>
          <w:i/>
          <w:iCs/>
          <w:noProof/>
          <w:sz w:val="22"/>
        </w:rPr>
        <w:t>BMJ Open</w:t>
      </w:r>
      <w:r w:rsidRPr="0097670D">
        <w:rPr>
          <w:noProof/>
          <w:sz w:val="22"/>
        </w:rPr>
        <w:t>, Vol. 9 No. 6, pp. 1–11.</w:t>
      </w:r>
    </w:p>
    <w:p w14:paraId="7B8355A3"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Richards, J.R. and Derlet, R.W. (2000), “Overcrowding in the Nation’ s Emergency Departments: Complex Causes and Disturbing Effects”, </w:t>
      </w:r>
      <w:r w:rsidRPr="0097670D">
        <w:rPr>
          <w:i/>
          <w:iCs/>
          <w:noProof/>
          <w:sz w:val="22"/>
        </w:rPr>
        <w:t>Annals of Emergency Medicine</w:t>
      </w:r>
      <w:r w:rsidRPr="0097670D">
        <w:rPr>
          <w:noProof/>
          <w:sz w:val="22"/>
        </w:rPr>
        <w:t>, Vol. 35 No. 1, pp. 3–8.</w:t>
      </w:r>
    </w:p>
    <w:p w14:paraId="78795934"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Roter, D. (1987), “An exploration of health education’s responsibility for a partnership model of client-provider relations”, </w:t>
      </w:r>
      <w:r w:rsidRPr="0097670D">
        <w:rPr>
          <w:i/>
          <w:iCs/>
          <w:noProof/>
          <w:sz w:val="22"/>
        </w:rPr>
        <w:t>Patient Education and Counseling</w:t>
      </w:r>
      <w:r w:rsidRPr="0097670D">
        <w:rPr>
          <w:noProof/>
          <w:sz w:val="22"/>
        </w:rPr>
        <w:t>, Vol. 9 No. 1, pp. 25–31.</w:t>
      </w:r>
    </w:p>
    <w:p w14:paraId="62601DFE"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Studdert, D.M., Mello, M.M., Sage, W.M., DesRoches, C.M., Peugh, J., Zapert, K. and Brennan, T.A. (2005), “Defensive medicine among high-risk specialist physicians in a volatile malpractice environment”, </w:t>
      </w:r>
      <w:r w:rsidRPr="0097670D">
        <w:rPr>
          <w:i/>
          <w:iCs/>
          <w:noProof/>
          <w:sz w:val="22"/>
        </w:rPr>
        <w:t>Journal of the American Medical Association</w:t>
      </w:r>
      <w:r w:rsidRPr="0097670D">
        <w:rPr>
          <w:noProof/>
          <w:sz w:val="22"/>
        </w:rPr>
        <w:t>, Vol. 293 No. 21, pp. 2609–2617.</w:t>
      </w:r>
    </w:p>
    <w:p w14:paraId="1C6B8E17"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Sweeney, J.C., Danaher, T.S. and McColl-Kennedy, J.R. (2015), “Customer Effort in Value Cocreation Activities: Improving Quality of Life and Behavioral Intentions of Health Care Customers”, </w:t>
      </w:r>
      <w:r w:rsidRPr="0097670D">
        <w:rPr>
          <w:i/>
          <w:iCs/>
          <w:noProof/>
          <w:sz w:val="22"/>
        </w:rPr>
        <w:t>Journal of Service Research</w:t>
      </w:r>
      <w:r w:rsidRPr="0097670D">
        <w:rPr>
          <w:noProof/>
          <w:sz w:val="22"/>
        </w:rPr>
        <w:t>, SAGE Publications Inc., Vol. 18 No. 3, pp. 318–335.</w:t>
      </w:r>
    </w:p>
    <w:p w14:paraId="6536C2A6"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Thom, D.H. and Campbell, B. (1997), “Patient-physician trust: an exploratory study”, </w:t>
      </w:r>
      <w:r w:rsidRPr="0097670D">
        <w:rPr>
          <w:i/>
          <w:iCs/>
          <w:noProof/>
          <w:sz w:val="22"/>
        </w:rPr>
        <w:t>Journal of Family Practice</w:t>
      </w:r>
      <w:r w:rsidRPr="0097670D">
        <w:rPr>
          <w:noProof/>
          <w:sz w:val="22"/>
        </w:rPr>
        <w:t>, Vol. 44 No. 2.</w:t>
      </w:r>
    </w:p>
    <w:p w14:paraId="00D64049"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Thompson, A.G.H. (2007), “The meaning of patient involvement and participation in health care consultations: A taxonomy”, </w:t>
      </w:r>
      <w:r w:rsidRPr="0097670D">
        <w:rPr>
          <w:i/>
          <w:iCs/>
          <w:noProof/>
          <w:sz w:val="22"/>
        </w:rPr>
        <w:t>Social Science and Medicine</w:t>
      </w:r>
      <w:r w:rsidRPr="0097670D">
        <w:rPr>
          <w:noProof/>
          <w:sz w:val="22"/>
        </w:rPr>
        <w:t>, Vol. 64 No. 6, pp. 1297–1310.</w:t>
      </w:r>
    </w:p>
    <w:p w14:paraId="366CEC2A"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Tinica, G., Tomaziu-Todosia, M., Tomaziu Todosia, G.-C. Christol, R.O., Bulgariu-Iliescu, D. and Furnica, C. (2017), “Defensive Medicine: Myths and Realities”, </w:t>
      </w:r>
      <w:r w:rsidRPr="0097670D">
        <w:rPr>
          <w:i/>
          <w:iCs/>
          <w:noProof/>
          <w:sz w:val="22"/>
        </w:rPr>
        <w:t>Rethinking Social Action. Core Values in Practice</w:t>
      </w:r>
      <w:r w:rsidRPr="0097670D">
        <w:rPr>
          <w:noProof/>
          <w:sz w:val="22"/>
        </w:rPr>
        <w:t>, Vol. 1, pp. 898–910.</w:t>
      </w:r>
    </w:p>
    <w:p w14:paraId="0BACD137"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Toraldo, D.M., Vergari, U. and Toraldo, M. (2015), “Medical malpractice, defensive medicine and role of the media in Italy”, </w:t>
      </w:r>
      <w:r w:rsidRPr="0097670D">
        <w:rPr>
          <w:i/>
          <w:iCs/>
          <w:noProof/>
          <w:sz w:val="22"/>
        </w:rPr>
        <w:t>Multidisciplinary Respiratory Medicine</w:t>
      </w:r>
      <w:r w:rsidRPr="0097670D">
        <w:rPr>
          <w:noProof/>
          <w:sz w:val="22"/>
        </w:rPr>
        <w:t>, ???, Vol. 10 No. 1, pp. 6–12.</w:t>
      </w:r>
    </w:p>
    <w:p w14:paraId="7FE2F4A2"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Vargo, S.L. and Lusch, R. (2004a), </w:t>
      </w:r>
      <w:r w:rsidRPr="0097670D">
        <w:rPr>
          <w:i/>
          <w:iCs/>
          <w:noProof/>
          <w:sz w:val="22"/>
        </w:rPr>
        <w:t>Service-Dominant Logic: What It Is, What It Is Not, What It Might Be</w:t>
      </w:r>
      <w:r w:rsidRPr="0097670D">
        <w:rPr>
          <w:noProof/>
          <w:sz w:val="22"/>
        </w:rPr>
        <w:t>, available at: https://www.researchgate.net/publication/272566759.</w:t>
      </w:r>
    </w:p>
    <w:p w14:paraId="40CFD9E5"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Vargo, S.L. and Lusch, R.F. (2004b), </w:t>
      </w:r>
      <w:r w:rsidRPr="0097670D">
        <w:rPr>
          <w:i/>
          <w:iCs/>
          <w:noProof/>
          <w:sz w:val="22"/>
        </w:rPr>
        <w:t>Evolving to a New Dominant Logic for Marketing</w:t>
      </w:r>
      <w:r w:rsidRPr="0097670D">
        <w:rPr>
          <w:noProof/>
          <w:sz w:val="22"/>
        </w:rPr>
        <w:t xml:space="preserve">, </w:t>
      </w:r>
      <w:r w:rsidRPr="0097670D">
        <w:rPr>
          <w:i/>
          <w:iCs/>
          <w:noProof/>
          <w:sz w:val="22"/>
        </w:rPr>
        <w:t>Journal of Marketing</w:t>
      </w:r>
      <w:r w:rsidRPr="0097670D">
        <w:rPr>
          <w:noProof/>
          <w:sz w:val="22"/>
        </w:rPr>
        <w:t>, Vol. 68, available at:https://doi.org/10.1509/jmkg.68.1.1.24036.</w:t>
      </w:r>
    </w:p>
    <w:p w14:paraId="00E70787"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Vargo, S.L. and Lusch, R.F. (2006), “Service-dominant logic: Reactions, reflections and refinements”, </w:t>
      </w:r>
      <w:r w:rsidRPr="0097670D">
        <w:rPr>
          <w:i/>
          <w:iCs/>
          <w:noProof/>
          <w:sz w:val="22"/>
        </w:rPr>
        <w:t>Marketing Theory</w:t>
      </w:r>
      <w:r w:rsidRPr="0097670D">
        <w:rPr>
          <w:noProof/>
          <w:sz w:val="22"/>
        </w:rPr>
        <w:t>, Vol. 6 No. 3, pp. 281–288.</w:t>
      </w:r>
    </w:p>
    <w:p w14:paraId="3A1877A5"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Vargo, S.L. and Lusch, R.F. (2008), “Service-dominant logic: Continuing the evolution”, </w:t>
      </w:r>
      <w:r w:rsidRPr="0097670D">
        <w:rPr>
          <w:i/>
          <w:iCs/>
          <w:noProof/>
          <w:sz w:val="22"/>
        </w:rPr>
        <w:t>Journal of the Academy of Marketing Science</w:t>
      </w:r>
      <w:r w:rsidRPr="0097670D">
        <w:rPr>
          <w:noProof/>
          <w:sz w:val="22"/>
        </w:rPr>
        <w:t>, Vol. 36 No. 1, pp. 1–10.</w:t>
      </w:r>
    </w:p>
    <w:p w14:paraId="57B2D839"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Vargo, S.L. and Lusch, R.F. (2012), “The nature and understanding of value: A service-dominant logic perspective”, </w:t>
      </w:r>
      <w:r w:rsidRPr="0097670D">
        <w:rPr>
          <w:i/>
          <w:iCs/>
          <w:noProof/>
          <w:sz w:val="22"/>
        </w:rPr>
        <w:t>Review of Marketing Research</w:t>
      </w:r>
      <w:r w:rsidRPr="0097670D">
        <w:rPr>
          <w:noProof/>
          <w:sz w:val="22"/>
        </w:rPr>
        <w:t>, Vol. 9, pp. 1–12.</w:t>
      </w:r>
    </w:p>
    <w:p w14:paraId="031DDB80"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Vargo, S.L. and Lusch, R.F. (2016), “Institutions and axioms: an extension and update of service-</w:t>
      </w:r>
      <w:r w:rsidRPr="0097670D">
        <w:rPr>
          <w:noProof/>
          <w:sz w:val="22"/>
        </w:rPr>
        <w:lastRenderedPageBreak/>
        <w:t xml:space="preserve">dominant logic”, </w:t>
      </w:r>
      <w:r w:rsidRPr="0097670D">
        <w:rPr>
          <w:i/>
          <w:iCs/>
          <w:noProof/>
          <w:sz w:val="22"/>
        </w:rPr>
        <w:t>Journal of the Academy of Marketing Science</w:t>
      </w:r>
      <w:r w:rsidRPr="0097670D">
        <w:rPr>
          <w:noProof/>
          <w:sz w:val="22"/>
        </w:rPr>
        <w:t>, Vol. 44 No. 1, pp. 5–23.</w:t>
      </w:r>
    </w:p>
    <w:p w14:paraId="2B7A7A58"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Vargo, S.L., Maglio, P.P. and Akaka, M.A. (2008), “On value and value co-creation: A service systems and service logic perspective”, </w:t>
      </w:r>
      <w:r w:rsidRPr="0097670D">
        <w:rPr>
          <w:i/>
          <w:iCs/>
          <w:noProof/>
          <w:sz w:val="22"/>
        </w:rPr>
        <w:t>European Management Journal</w:t>
      </w:r>
      <w:r w:rsidRPr="0097670D">
        <w:rPr>
          <w:noProof/>
          <w:sz w:val="22"/>
        </w:rPr>
        <w:t>, Vol. 26 No. 3, pp. 145–152.</w:t>
      </w:r>
    </w:p>
    <w:p w14:paraId="14B44855"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Veatch, R.M. (1972), “Models for Ethical Medicine in a Revolutionary Age”, </w:t>
      </w:r>
      <w:r w:rsidRPr="0097670D">
        <w:rPr>
          <w:i/>
          <w:iCs/>
          <w:noProof/>
          <w:sz w:val="22"/>
        </w:rPr>
        <w:t>The Hastings Center Report</w:t>
      </w:r>
      <w:r w:rsidRPr="0097670D">
        <w:rPr>
          <w:noProof/>
          <w:sz w:val="22"/>
        </w:rPr>
        <w:t>, Vol. 2 No. 3, p. 5.</w:t>
      </w:r>
    </w:p>
    <w:p w14:paraId="63479E7F"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Vento, S., Cainelli, F. and Vallone, A. (2018), “Defensive medicine: It is time to finally slow down an epidemic”, </w:t>
      </w:r>
      <w:r w:rsidRPr="0097670D">
        <w:rPr>
          <w:i/>
          <w:iCs/>
          <w:noProof/>
          <w:sz w:val="22"/>
        </w:rPr>
        <w:t>World Journal of Clinical Cases</w:t>
      </w:r>
      <w:r w:rsidRPr="0097670D">
        <w:rPr>
          <w:noProof/>
          <w:sz w:val="22"/>
        </w:rPr>
        <w:t>, Vol. 9 No. 9, pp. 157–164.</w:t>
      </w:r>
    </w:p>
    <w:p w14:paraId="4D986220"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World Health Organization. (2013), </w:t>
      </w:r>
      <w:r w:rsidRPr="0097670D">
        <w:rPr>
          <w:i/>
          <w:iCs/>
          <w:noProof/>
          <w:sz w:val="22"/>
        </w:rPr>
        <w:t>Exploring Patient Participation in Reducing Health-Care-Related Safety Risks</w:t>
      </w:r>
      <w:r w:rsidRPr="0097670D">
        <w:rPr>
          <w:noProof/>
          <w:sz w:val="22"/>
        </w:rPr>
        <w:t xml:space="preserve">, </w:t>
      </w:r>
      <w:r w:rsidRPr="0097670D">
        <w:rPr>
          <w:i/>
          <w:iCs/>
          <w:noProof/>
          <w:sz w:val="22"/>
        </w:rPr>
        <w:t>WHO: Geneva</w:t>
      </w:r>
      <w:r w:rsidRPr="0097670D">
        <w:rPr>
          <w:noProof/>
          <w:sz w:val="22"/>
        </w:rPr>
        <w:t>, available at:https://doi.org/978-92-890-0294-3.</w:t>
      </w:r>
    </w:p>
    <w:p w14:paraId="69F9465B"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Yi, Y. and Gong, T. (2013), “Customer value co-creation behavior: Scale development and validation”, </w:t>
      </w:r>
      <w:r w:rsidRPr="0097670D">
        <w:rPr>
          <w:i/>
          <w:iCs/>
          <w:noProof/>
          <w:sz w:val="22"/>
        </w:rPr>
        <w:t>Journal of Business Research</w:t>
      </w:r>
      <w:r w:rsidRPr="0097670D">
        <w:rPr>
          <w:noProof/>
          <w:sz w:val="22"/>
        </w:rPr>
        <w:t>, Vol. 66 No. 9, pp. 1279–1284.</w:t>
      </w:r>
    </w:p>
    <w:p w14:paraId="1B0CFE02"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Zafar, W., Siddiqui, E., Ejaz, K., Shehzad, M.U., Khan, U.R., Jamali, S. and Razzak, J.A. (2013), “Health care personnel and workplace violence in the emergency departments of a volatile metropolis: Results from Karachi, Pakistan”, </w:t>
      </w:r>
      <w:r w:rsidRPr="0097670D">
        <w:rPr>
          <w:i/>
          <w:iCs/>
          <w:noProof/>
          <w:sz w:val="22"/>
        </w:rPr>
        <w:t>Journal of Emergency Medicine</w:t>
      </w:r>
      <w:r w:rsidRPr="0097670D">
        <w:rPr>
          <w:noProof/>
          <w:sz w:val="22"/>
        </w:rPr>
        <w:t>, Elsevier Ltd, Vol. 45 No. 5, pp. 761–772.</w:t>
      </w:r>
    </w:p>
    <w:p w14:paraId="5C794A3F" w14:textId="77777777" w:rsidR="00686DE6" w:rsidRPr="0097670D" w:rsidRDefault="00686DE6" w:rsidP="00FB1CCF">
      <w:pPr>
        <w:widowControl w:val="0"/>
        <w:autoSpaceDE w:val="0"/>
        <w:autoSpaceDN w:val="0"/>
        <w:adjustRightInd w:val="0"/>
        <w:spacing w:line="360" w:lineRule="auto"/>
        <w:ind w:left="480" w:hanging="480"/>
        <w:jc w:val="both"/>
        <w:rPr>
          <w:noProof/>
          <w:sz w:val="22"/>
        </w:rPr>
      </w:pPr>
      <w:r w:rsidRPr="0097670D">
        <w:rPr>
          <w:noProof/>
          <w:sz w:val="22"/>
        </w:rPr>
        <w:t xml:space="preserve">Zhang, L., Tong, H., Demirel, H.O., Duffy, V.G., Yih, Y. and Bidassie, B. (2015), “A Practical Model of Value Co-creation in Healthcare Service”, </w:t>
      </w:r>
      <w:r w:rsidRPr="0097670D">
        <w:rPr>
          <w:i/>
          <w:iCs/>
          <w:noProof/>
          <w:sz w:val="22"/>
        </w:rPr>
        <w:t>Procedia Manufacturing</w:t>
      </w:r>
      <w:r w:rsidRPr="0097670D">
        <w:rPr>
          <w:noProof/>
          <w:sz w:val="22"/>
        </w:rPr>
        <w:t>, Elsevier B.V., Vol. 3, pp. 200–207.</w:t>
      </w:r>
    </w:p>
    <w:p w14:paraId="1D5C8EEA" w14:textId="15E3E9D6" w:rsidR="00686DE6" w:rsidRPr="0097670D" w:rsidRDefault="00686DE6" w:rsidP="00FB1CCF">
      <w:pPr>
        <w:pStyle w:val="Corpotesto"/>
        <w:spacing w:before="0" w:line="360" w:lineRule="auto"/>
        <w:ind w:firstLine="284"/>
        <w:rPr>
          <w:sz w:val="22"/>
          <w:szCs w:val="22"/>
        </w:rPr>
      </w:pPr>
      <w:r w:rsidRPr="0097670D">
        <w:rPr>
          <w:sz w:val="22"/>
          <w:szCs w:val="22"/>
        </w:rPr>
        <w:fldChar w:fldCharType="end"/>
      </w:r>
    </w:p>
    <w:p w14:paraId="638E84F7" w14:textId="77777777" w:rsidR="00686DE6" w:rsidRPr="0097670D" w:rsidRDefault="00686DE6">
      <w:pPr>
        <w:rPr>
          <w:sz w:val="22"/>
          <w:szCs w:val="22"/>
        </w:rPr>
      </w:pPr>
      <w:r w:rsidRPr="0097670D">
        <w:rPr>
          <w:sz w:val="22"/>
          <w:szCs w:val="22"/>
        </w:rPr>
        <w:br w:type="page"/>
      </w:r>
    </w:p>
    <w:p w14:paraId="6D8FE9D8" w14:textId="77777777" w:rsidR="00686DE6" w:rsidRPr="0097670D" w:rsidRDefault="00686DE6" w:rsidP="00686DE6">
      <w:pPr>
        <w:ind w:left="284" w:hanging="284"/>
        <w:jc w:val="both"/>
        <w:rPr>
          <w:b/>
          <w:bCs/>
          <w:sz w:val="22"/>
          <w:szCs w:val="22"/>
        </w:rPr>
      </w:pPr>
      <w:r w:rsidRPr="0097670D">
        <w:rPr>
          <w:b/>
          <w:bCs/>
          <w:sz w:val="22"/>
          <w:szCs w:val="22"/>
        </w:rPr>
        <w:lastRenderedPageBreak/>
        <w:t>Appendix 1. Topic Questions – Physician</w:t>
      </w:r>
    </w:p>
    <w:p w14:paraId="450AF5CF" w14:textId="77777777" w:rsidR="00686DE6" w:rsidRPr="0097670D" w:rsidRDefault="00686DE6" w:rsidP="00686DE6">
      <w:pPr>
        <w:widowControl w:val="0"/>
        <w:autoSpaceDE w:val="0"/>
        <w:autoSpaceDN w:val="0"/>
        <w:adjustRightInd w:val="0"/>
        <w:spacing w:line="360" w:lineRule="auto"/>
        <w:ind w:left="480" w:hanging="480"/>
        <w:rPr>
          <w:b/>
          <w:bCs/>
          <w:sz w:val="22"/>
          <w:szCs w:val="22"/>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
        <w:gridCol w:w="7583"/>
      </w:tblGrid>
      <w:tr w:rsidR="00686DE6" w:rsidRPr="0097670D" w14:paraId="5B6D8C3A" w14:textId="77777777" w:rsidTr="00686DE6">
        <w:trPr>
          <w:trHeight w:val="340"/>
        </w:trPr>
        <w:tc>
          <w:tcPr>
            <w:tcW w:w="918" w:type="dxa"/>
            <w:noWrap/>
            <w:hideMark/>
          </w:tcPr>
          <w:p w14:paraId="5084E73B"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sz w:val="22"/>
                <w:szCs w:val="22"/>
              </w:rPr>
              <w:t>1.</w:t>
            </w:r>
          </w:p>
        </w:tc>
        <w:tc>
          <w:tcPr>
            <w:tcW w:w="7586" w:type="dxa"/>
            <w:hideMark/>
          </w:tcPr>
          <w:p w14:paraId="15A7A4E4"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What typologies of patient-physician relationship have you experienced in your career? Please provide examples.</w:t>
            </w:r>
          </w:p>
        </w:tc>
      </w:tr>
      <w:tr w:rsidR="00686DE6" w:rsidRPr="0097670D" w14:paraId="740BCD47" w14:textId="77777777" w:rsidTr="00686DE6">
        <w:trPr>
          <w:trHeight w:val="340"/>
        </w:trPr>
        <w:tc>
          <w:tcPr>
            <w:tcW w:w="918" w:type="dxa"/>
            <w:noWrap/>
            <w:hideMark/>
          </w:tcPr>
          <w:p w14:paraId="14A97F44"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sz w:val="22"/>
                <w:szCs w:val="22"/>
              </w:rPr>
              <w:t>2.</w:t>
            </w:r>
          </w:p>
        </w:tc>
        <w:tc>
          <w:tcPr>
            <w:tcW w:w="7586" w:type="dxa"/>
            <w:hideMark/>
          </w:tcPr>
          <w:p w14:paraId="45840049"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In your opinion, w</w:t>
            </w:r>
            <w:r w:rsidRPr="0097670D">
              <w:rPr>
                <w:sz w:val="22"/>
                <w:szCs w:val="22"/>
              </w:rPr>
              <w:t xml:space="preserve">hat </w:t>
            </w:r>
            <w:r w:rsidRPr="0097670D">
              <w:rPr>
                <w:rFonts w:ascii="Times New Roman" w:hAnsi="Times New Roman"/>
                <w:sz w:val="22"/>
                <w:szCs w:val="22"/>
              </w:rPr>
              <w:t>are the characteristics that mainly influence the patient-physician relationship? Please provide examples and motivate the answer.</w:t>
            </w:r>
          </w:p>
        </w:tc>
      </w:tr>
      <w:tr w:rsidR="00686DE6" w:rsidRPr="0097670D" w14:paraId="6AF7272C" w14:textId="77777777" w:rsidTr="00686DE6">
        <w:trPr>
          <w:trHeight w:val="340"/>
        </w:trPr>
        <w:tc>
          <w:tcPr>
            <w:tcW w:w="918" w:type="dxa"/>
            <w:noWrap/>
            <w:hideMark/>
          </w:tcPr>
          <w:p w14:paraId="03CF180E"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sz w:val="22"/>
                <w:szCs w:val="22"/>
              </w:rPr>
              <w:t>3.</w:t>
            </w:r>
          </w:p>
        </w:tc>
        <w:tc>
          <w:tcPr>
            <w:tcW w:w="7586" w:type="dxa"/>
            <w:hideMark/>
          </w:tcPr>
          <w:p w14:paraId="3ADA7CEB"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 xml:space="preserve">What are your major concerns during your job? And what about the relationship with your patients? </w:t>
            </w:r>
          </w:p>
        </w:tc>
      </w:tr>
      <w:tr w:rsidR="00686DE6" w:rsidRPr="0097670D" w14:paraId="4DFD887E" w14:textId="77777777" w:rsidTr="00686DE6">
        <w:trPr>
          <w:trHeight w:val="340"/>
        </w:trPr>
        <w:tc>
          <w:tcPr>
            <w:tcW w:w="918" w:type="dxa"/>
            <w:noWrap/>
            <w:hideMark/>
          </w:tcPr>
          <w:p w14:paraId="26A6C117"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sz w:val="22"/>
                <w:szCs w:val="22"/>
              </w:rPr>
              <w:t>4.</w:t>
            </w:r>
          </w:p>
        </w:tc>
        <w:tc>
          <w:tcPr>
            <w:tcW w:w="7586" w:type="dxa"/>
            <w:hideMark/>
          </w:tcPr>
          <w:p w14:paraId="664A5DCE"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 xml:space="preserve">How did you manage difficult patients, either in terms of risky clinical status </w:t>
            </w:r>
            <w:proofErr w:type="gramStart"/>
            <w:r w:rsidRPr="0097670D">
              <w:rPr>
                <w:rFonts w:ascii="Times New Roman" w:hAnsi="Times New Roman"/>
                <w:sz w:val="22"/>
                <w:szCs w:val="22"/>
              </w:rPr>
              <w:t>and</w:t>
            </w:r>
            <w:proofErr w:type="gramEnd"/>
            <w:r w:rsidRPr="0097670D">
              <w:rPr>
                <w:rFonts w:ascii="Times New Roman" w:hAnsi="Times New Roman"/>
                <w:sz w:val="22"/>
                <w:szCs w:val="22"/>
              </w:rPr>
              <w:t xml:space="preserve"> non-collaborative people, in the past?</w:t>
            </w:r>
          </w:p>
        </w:tc>
      </w:tr>
      <w:tr w:rsidR="00686DE6" w:rsidRPr="0097670D" w14:paraId="13276E6F" w14:textId="77777777" w:rsidTr="00686DE6">
        <w:trPr>
          <w:trHeight w:val="680"/>
        </w:trPr>
        <w:tc>
          <w:tcPr>
            <w:tcW w:w="918" w:type="dxa"/>
            <w:noWrap/>
            <w:hideMark/>
          </w:tcPr>
          <w:p w14:paraId="126A2FC1"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sz w:val="22"/>
                <w:szCs w:val="22"/>
              </w:rPr>
              <w:t>5.</w:t>
            </w:r>
          </w:p>
        </w:tc>
        <w:tc>
          <w:tcPr>
            <w:tcW w:w="7586" w:type="dxa"/>
            <w:hideMark/>
          </w:tcPr>
          <w:p w14:paraId="0EB6BAC2"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How much is important the frequency and continuity in a patient-physician relationship? Motivate the answer.</w:t>
            </w:r>
          </w:p>
        </w:tc>
      </w:tr>
      <w:tr w:rsidR="00686DE6" w:rsidRPr="0097670D" w14:paraId="3E329045" w14:textId="77777777" w:rsidTr="00686DE6">
        <w:trPr>
          <w:trHeight w:val="340"/>
        </w:trPr>
        <w:tc>
          <w:tcPr>
            <w:tcW w:w="918" w:type="dxa"/>
            <w:noWrap/>
            <w:hideMark/>
          </w:tcPr>
          <w:p w14:paraId="6AC45683"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sz w:val="22"/>
                <w:szCs w:val="22"/>
              </w:rPr>
              <w:t>6.</w:t>
            </w:r>
          </w:p>
        </w:tc>
        <w:tc>
          <w:tcPr>
            <w:tcW w:w="7586" w:type="dxa"/>
            <w:hideMark/>
          </w:tcPr>
          <w:p w14:paraId="0937D6A8"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In your opinion, what aspects are valuable for the patient during the care process? What do you do for enhancing these aspects?</w:t>
            </w:r>
          </w:p>
        </w:tc>
      </w:tr>
      <w:tr w:rsidR="00686DE6" w:rsidRPr="0097670D" w14:paraId="63825D9D" w14:textId="77777777" w:rsidTr="00686DE6">
        <w:trPr>
          <w:trHeight w:val="340"/>
        </w:trPr>
        <w:tc>
          <w:tcPr>
            <w:tcW w:w="918" w:type="dxa"/>
            <w:noWrap/>
            <w:hideMark/>
          </w:tcPr>
          <w:p w14:paraId="34D58B79"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sz w:val="22"/>
                <w:szCs w:val="22"/>
              </w:rPr>
              <w:t>7.</w:t>
            </w:r>
          </w:p>
        </w:tc>
        <w:tc>
          <w:tcPr>
            <w:tcW w:w="7586" w:type="dxa"/>
            <w:hideMark/>
          </w:tcPr>
          <w:p w14:paraId="7F5463B7"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How important are the patients’ needs? How much do you pay attention to them during the decision of the treatment/healing process?</w:t>
            </w:r>
          </w:p>
        </w:tc>
      </w:tr>
      <w:tr w:rsidR="00686DE6" w:rsidRPr="0097670D" w14:paraId="543E5960" w14:textId="77777777" w:rsidTr="00686DE6">
        <w:trPr>
          <w:trHeight w:val="340"/>
        </w:trPr>
        <w:tc>
          <w:tcPr>
            <w:tcW w:w="918" w:type="dxa"/>
            <w:noWrap/>
            <w:hideMark/>
          </w:tcPr>
          <w:p w14:paraId="1B4E2CE0"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sz w:val="22"/>
                <w:szCs w:val="22"/>
              </w:rPr>
              <w:t>8.</w:t>
            </w:r>
          </w:p>
        </w:tc>
        <w:tc>
          <w:tcPr>
            <w:tcW w:w="7586" w:type="dxa"/>
            <w:hideMark/>
          </w:tcPr>
          <w:p w14:paraId="211C42E0"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 xml:space="preserve">In which cases and what are the reasons that push a physician to prescribes more clinical/diagnostic tests or, alternatively, requesting other specialist consultations? </w:t>
            </w:r>
          </w:p>
        </w:tc>
      </w:tr>
      <w:tr w:rsidR="00686DE6" w:rsidRPr="0097670D" w14:paraId="31B3ADB7" w14:textId="77777777" w:rsidTr="00686DE6">
        <w:trPr>
          <w:trHeight w:val="680"/>
        </w:trPr>
        <w:tc>
          <w:tcPr>
            <w:tcW w:w="918" w:type="dxa"/>
            <w:noWrap/>
            <w:hideMark/>
          </w:tcPr>
          <w:p w14:paraId="76F79515"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sz w:val="22"/>
                <w:szCs w:val="22"/>
              </w:rPr>
              <w:t>9.</w:t>
            </w:r>
          </w:p>
        </w:tc>
        <w:tc>
          <w:tcPr>
            <w:tcW w:w="7586" w:type="dxa"/>
            <w:hideMark/>
          </w:tcPr>
          <w:p w14:paraId="131F4556"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How much the risk of lawsuits puts pressure on a physician? What are the consequences of performing the job?</w:t>
            </w:r>
          </w:p>
        </w:tc>
      </w:tr>
      <w:tr w:rsidR="00686DE6" w:rsidRPr="0097670D" w14:paraId="0E38526B" w14:textId="77777777" w:rsidTr="00686DE6">
        <w:trPr>
          <w:trHeight w:val="340"/>
        </w:trPr>
        <w:tc>
          <w:tcPr>
            <w:tcW w:w="918" w:type="dxa"/>
            <w:noWrap/>
            <w:hideMark/>
          </w:tcPr>
          <w:p w14:paraId="551C052B"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sz w:val="22"/>
                <w:szCs w:val="22"/>
              </w:rPr>
              <w:t>10.</w:t>
            </w:r>
          </w:p>
        </w:tc>
        <w:tc>
          <w:tcPr>
            <w:tcW w:w="7586" w:type="dxa"/>
            <w:hideMark/>
          </w:tcPr>
          <w:p w14:paraId="2EFF2B99"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Do you think that the patient-physician relationship is influenced somehow by the context/typology of the medical visit (</w:t>
            </w:r>
            <w:proofErr w:type="gramStart"/>
            <w:r w:rsidRPr="0097670D">
              <w:rPr>
                <w:rFonts w:ascii="Times New Roman" w:hAnsi="Times New Roman"/>
                <w:sz w:val="22"/>
                <w:szCs w:val="22"/>
              </w:rPr>
              <w:t>i.e.</w:t>
            </w:r>
            <w:proofErr w:type="gramEnd"/>
            <w:r w:rsidRPr="0097670D">
              <w:rPr>
                <w:rFonts w:ascii="Times New Roman" w:hAnsi="Times New Roman"/>
                <w:sz w:val="22"/>
                <w:szCs w:val="22"/>
              </w:rPr>
              <w:t xml:space="preserve"> emergency, consultancy, follow-up)? How? Why?</w:t>
            </w:r>
          </w:p>
        </w:tc>
      </w:tr>
      <w:tr w:rsidR="00686DE6" w:rsidRPr="0097670D" w14:paraId="37B7F592" w14:textId="77777777" w:rsidTr="00686DE6">
        <w:trPr>
          <w:trHeight w:val="680"/>
        </w:trPr>
        <w:tc>
          <w:tcPr>
            <w:tcW w:w="918" w:type="dxa"/>
            <w:noWrap/>
            <w:hideMark/>
          </w:tcPr>
          <w:p w14:paraId="21BE9170"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sz w:val="22"/>
                <w:szCs w:val="22"/>
              </w:rPr>
              <w:t>11.</w:t>
            </w:r>
          </w:p>
        </w:tc>
        <w:tc>
          <w:tcPr>
            <w:tcW w:w="7586" w:type="dxa"/>
            <w:hideMark/>
          </w:tcPr>
          <w:p w14:paraId="26DE42DE"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Have you got any reflection on the arguments we have just talked about?</w:t>
            </w:r>
          </w:p>
        </w:tc>
      </w:tr>
    </w:tbl>
    <w:p w14:paraId="2754C15A" w14:textId="77777777" w:rsidR="00686DE6" w:rsidRPr="0097670D" w:rsidRDefault="00686DE6" w:rsidP="00686DE6">
      <w:pPr>
        <w:rPr>
          <w:sz w:val="20"/>
          <w:szCs w:val="20"/>
        </w:rPr>
      </w:pPr>
      <w:r w:rsidRPr="0097670D">
        <w:rPr>
          <w:sz w:val="20"/>
          <w:szCs w:val="20"/>
        </w:rPr>
        <w:br w:type="page"/>
      </w:r>
    </w:p>
    <w:p w14:paraId="798A4EF7" w14:textId="77777777" w:rsidR="00686DE6" w:rsidRPr="0097670D" w:rsidRDefault="00686DE6" w:rsidP="00686DE6">
      <w:pPr>
        <w:widowControl w:val="0"/>
        <w:autoSpaceDE w:val="0"/>
        <w:autoSpaceDN w:val="0"/>
        <w:adjustRightInd w:val="0"/>
        <w:spacing w:line="360" w:lineRule="auto"/>
        <w:ind w:left="480" w:hanging="480"/>
        <w:rPr>
          <w:b/>
          <w:bCs/>
          <w:sz w:val="22"/>
          <w:szCs w:val="22"/>
        </w:rPr>
      </w:pPr>
      <w:r w:rsidRPr="0097670D">
        <w:rPr>
          <w:b/>
          <w:bCs/>
          <w:sz w:val="22"/>
          <w:szCs w:val="22"/>
        </w:rPr>
        <w:lastRenderedPageBreak/>
        <w:t>Appendix 2. Topic Questions – Patient</w:t>
      </w:r>
    </w:p>
    <w:p w14:paraId="4A045F8D" w14:textId="77777777" w:rsidR="00686DE6" w:rsidRPr="0097670D" w:rsidRDefault="00686DE6" w:rsidP="00686DE6">
      <w:pPr>
        <w:widowControl w:val="0"/>
        <w:autoSpaceDE w:val="0"/>
        <w:autoSpaceDN w:val="0"/>
        <w:adjustRightInd w:val="0"/>
        <w:spacing w:line="360" w:lineRule="auto"/>
        <w:ind w:left="480" w:hanging="480"/>
        <w:rPr>
          <w:b/>
          <w:bCs/>
          <w:sz w:val="22"/>
          <w:szCs w:val="22"/>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8"/>
        <w:gridCol w:w="7586"/>
      </w:tblGrid>
      <w:tr w:rsidR="00686DE6" w:rsidRPr="0097670D" w14:paraId="566B0842" w14:textId="77777777" w:rsidTr="00686DE6">
        <w:trPr>
          <w:trHeight w:val="340"/>
        </w:trPr>
        <w:tc>
          <w:tcPr>
            <w:tcW w:w="918" w:type="dxa"/>
            <w:noWrap/>
            <w:hideMark/>
          </w:tcPr>
          <w:p w14:paraId="24D28DF3"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rFonts w:ascii="Times New Roman" w:hAnsi="Times New Roman"/>
                <w:sz w:val="22"/>
                <w:szCs w:val="22"/>
              </w:rPr>
              <w:t>1.</w:t>
            </w:r>
          </w:p>
        </w:tc>
        <w:tc>
          <w:tcPr>
            <w:tcW w:w="7586" w:type="dxa"/>
            <w:hideMark/>
          </w:tcPr>
          <w:p w14:paraId="3C9C6211"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What typologies of patient-physician relationship have you experienced in your lifetime? Please provide examples.</w:t>
            </w:r>
          </w:p>
        </w:tc>
      </w:tr>
      <w:tr w:rsidR="00686DE6" w:rsidRPr="0097670D" w14:paraId="3C5DD1FC" w14:textId="77777777" w:rsidTr="00686DE6">
        <w:trPr>
          <w:trHeight w:val="340"/>
        </w:trPr>
        <w:tc>
          <w:tcPr>
            <w:tcW w:w="918" w:type="dxa"/>
            <w:noWrap/>
            <w:hideMark/>
          </w:tcPr>
          <w:p w14:paraId="63289CE6"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rFonts w:ascii="Times New Roman" w:hAnsi="Times New Roman"/>
                <w:sz w:val="22"/>
                <w:szCs w:val="22"/>
              </w:rPr>
              <w:t>2.</w:t>
            </w:r>
          </w:p>
        </w:tc>
        <w:tc>
          <w:tcPr>
            <w:tcW w:w="7586" w:type="dxa"/>
            <w:hideMark/>
          </w:tcPr>
          <w:p w14:paraId="281803FD"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In your opinion, what are the characteristics that mainly influence the patient-physician relationship? Please provide examples and motivate the answer.</w:t>
            </w:r>
          </w:p>
        </w:tc>
      </w:tr>
      <w:tr w:rsidR="00686DE6" w:rsidRPr="0097670D" w14:paraId="2147D9A1" w14:textId="77777777" w:rsidTr="00686DE6">
        <w:trPr>
          <w:trHeight w:val="340"/>
        </w:trPr>
        <w:tc>
          <w:tcPr>
            <w:tcW w:w="918" w:type="dxa"/>
            <w:noWrap/>
            <w:hideMark/>
          </w:tcPr>
          <w:p w14:paraId="764D788D"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rFonts w:ascii="Times New Roman" w:hAnsi="Times New Roman"/>
                <w:sz w:val="22"/>
                <w:szCs w:val="22"/>
              </w:rPr>
              <w:t>3.</w:t>
            </w:r>
          </w:p>
        </w:tc>
        <w:tc>
          <w:tcPr>
            <w:tcW w:w="7586" w:type="dxa"/>
            <w:hideMark/>
          </w:tcPr>
          <w:p w14:paraId="1516A86B"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 xml:space="preserve">What are your major worries when you approach a physician? </w:t>
            </w:r>
          </w:p>
        </w:tc>
      </w:tr>
      <w:tr w:rsidR="00686DE6" w:rsidRPr="0097670D" w14:paraId="37FD92ED" w14:textId="77777777" w:rsidTr="00686DE6">
        <w:trPr>
          <w:trHeight w:val="340"/>
        </w:trPr>
        <w:tc>
          <w:tcPr>
            <w:tcW w:w="918" w:type="dxa"/>
            <w:noWrap/>
            <w:hideMark/>
          </w:tcPr>
          <w:p w14:paraId="5C74B746"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rFonts w:ascii="Times New Roman" w:hAnsi="Times New Roman"/>
                <w:sz w:val="22"/>
                <w:szCs w:val="22"/>
              </w:rPr>
              <w:t>4.</w:t>
            </w:r>
          </w:p>
        </w:tc>
        <w:tc>
          <w:tcPr>
            <w:tcW w:w="7586" w:type="dxa"/>
            <w:hideMark/>
          </w:tcPr>
          <w:p w14:paraId="04A7E4B4"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 xml:space="preserve">How do you act when you do not </w:t>
            </w:r>
            <w:proofErr w:type="gramStart"/>
            <w:r w:rsidRPr="0097670D">
              <w:rPr>
                <w:rFonts w:ascii="Times New Roman" w:hAnsi="Times New Roman"/>
                <w:sz w:val="22"/>
                <w:szCs w:val="22"/>
              </w:rPr>
              <w:t>agree</w:t>
            </w:r>
            <w:proofErr w:type="gramEnd"/>
            <w:r w:rsidRPr="0097670D">
              <w:rPr>
                <w:rFonts w:ascii="Times New Roman" w:hAnsi="Times New Roman"/>
                <w:sz w:val="22"/>
                <w:szCs w:val="22"/>
              </w:rPr>
              <w:t xml:space="preserve"> or you are unsatisfied with the care process?</w:t>
            </w:r>
          </w:p>
        </w:tc>
      </w:tr>
      <w:tr w:rsidR="00686DE6" w:rsidRPr="0097670D" w14:paraId="349FB0CE" w14:textId="77777777" w:rsidTr="00686DE6">
        <w:trPr>
          <w:trHeight w:val="680"/>
        </w:trPr>
        <w:tc>
          <w:tcPr>
            <w:tcW w:w="918" w:type="dxa"/>
            <w:noWrap/>
            <w:hideMark/>
          </w:tcPr>
          <w:p w14:paraId="15FA5728"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rFonts w:ascii="Times New Roman" w:hAnsi="Times New Roman"/>
                <w:sz w:val="22"/>
                <w:szCs w:val="22"/>
              </w:rPr>
              <w:t>5.</w:t>
            </w:r>
          </w:p>
        </w:tc>
        <w:tc>
          <w:tcPr>
            <w:tcW w:w="7586" w:type="dxa"/>
            <w:hideMark/>
          </w:tcPr>
          <w:p w14:paraId="3FEE50D4"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How much is important the frequency and continuity in a patient-physician relationship? Motivate the answer.</w:t>
            </w:r>
          </w:p>
        </w:tc>
      </w:tr>
      <w:tr w:rsidR="00686DE6" w:rsidRPr="0097670D" w14:paraId="5627E339" w14:textId="77777777" w:rsidTr="00686DE6">
        <w:trPr>
          <w:trHeight w:val="340"/>
        </w:trPr>
        <w:tc>
          <w:tcPr>
            <w:tcW w:w="918" w:type="dxa"/>
            <w:noWrap/>
            <w:hideMark/>
          </w:tcPr>
          <w:p w14:paraId="6D4E95DE"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rFonts w:ascii="Times New Roman" w:hAnsi="Times New Roman"/>
                <w:sz w:val="22"/>
                <w:szCs w:val="22"/>
              </w:rPr>
              <w:t>6.</w:t>
            </w:r>
          </w:p>
        </w:tc>
        <w:tc>
          <w:tcPr>
            <w:tcW w:w="7586" w:type="dxa"/>
            <w:hideMark/>
          </w:tcPr>
          <w:p w14:paraId="7AD846FA"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What are the aspects you give more importance to in the care process, and, in particular, with the physician relationship?</w:t>
            </w:r>
          </w:p>
        </w:tc>
      </w:tr>
      <w:tr w:rsidR="00686DE6" w:rsidRPr="0097670D" w14:paraId="5AF249BE" w14:textId="77777777" w:rsidTr="00686DE6">
        <w:trPr>
          <w:trHeight w:val="340"/>
        </w:trPr>
        <w:tc>
          <w:tcPr>
            <w:tcW w:w="918" w:type="dxa"/>
            <w:noWrap/>
            <w:hideMark/>
          </w:tcPr>
          <w:p w14:paraId="5344EC08"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rFonts w:ascii="Times New Roman" w:hAnsi="Times New Roman"/>
                <w:sz w:val="22"/>
                <w:szCs w:val="22"/>
              </w:rPr>
              <w:t>7.</w:t>
            </w:r>
          </w:p>
        </w:tc>
        <w:tc>
          <w:tcPr>
            <w:tcW w:w="7586" w:type="dxa"/>
            <w:hideMark/>
          </w:tcPr>
          <w:p w14:paraId="161FBF15"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 xml:space="preserve">In your past experience, did you communicate to the physician your needs? The physician took them into consideration in order to design the care </w:t>
            </w:r>
            <w:proofErr w:type="gramStart"/>
            <w:r w:rsidRPr="0097670D">
              <w:rPr>
                <w:rFonts w:ascii="Times New Roman" w:hAnsi="Times New Roman"/>
                <w:sz w:val="22"/>
                <w:szCs w:val="22"/>
              </w:rPr>
              <w:t>process?</w:t>
            </w:r>
            <w:proofErr w:type="gramEnd"/>
            <w:r w:rsidRPr="0097670D">
              <w:rPr>
                <w:rFonts w:ascii="Times New Roman" w:hAnsi="Times New Roman"/>
                <w:sz w:val="22"/>
                <w:szCs w:val="22"/>
              </w:rPr>
              <w:t xml:space="preserve"> How?</w:t>
            </w:r>
          </w:p>
        </w:tc>
      </w:tr>
      <w:tr w:rsidR="00686DE6" w:rsidRPr="0097670D" w14:paraId="025F8509" w14:textId="77777777" w:rsidTr="00686DE6">
        <w:trPr>
          <w:trHeight w:val="680"/>
        </w:trPr>
        <w:tc>
          <w:tcPr>
            <w:tcW w:w="918" w:type="dxa"/>
            <w:noWrap/>
            <w:hideMark/>
          </w:tcPr>
          <w:p w14:paraId="1C03D1F2" w14:textId="77777777" w:rsidR="00686DE6" w:rsidRPr="0097670D" w:rsidRDefault="00686DE6" w:rsidP="00686DE6">
            <w:pPr>
              <w:widowControl w:val="0"/>
              <w:autoSpaceDE w:val="0"/>
              <w:autoSpaceDN w:val="0"/>
              <w:adjustRightInd w:val="0"/>
              <w:spacing w:line="360" w:lineRule="auto"/>
              <w:ind w:left="426"/>
              <w:jc w:val="both"/>
              <w:rPr>
                <w:rFonts w:ascii="Times New Roman" w:hAnsi="Times New Roman"/>
                <w:sz w:val="22"/>
                <w:szCs w:val="22"/>
              </w:rPr>
            </w:pPr>
            <w:r w:rsidRPr="0097670D">
              <w:rPr>
                <w:rFonts w:ascii="Times New Roman" w:hAnsi="Times New Roman"/>
                <w:sz w:val="22"/>
                <w:szCs w:val="22"/>
              </w:rPr>
              <w:t>8.</w:t>
            </w:r>
          </w:p>
        </w:tc>
        <w:tc>
          <w:tcPr>
            <w:tcW w:w="7586" w:type="dxa"/>
            <w:hideMark/>
          </w:tcPr>
          <w:p w14:paraId="5999F52C" w14:textId="77777777" w:rsidR="00686DE6" w:rsidRPr="0097670D" w:rsidRDefault="00686DE6" w:rsidP="00686DE6">
            <w:pPr>
              <w:widowControl w:val="0"/>
              <w:autoSpaceDE w:val="0"/>
              <w:autoSpaceDN w:val="0"/>
              <w:adjustRightInd w:val="0"/>
              <w:spacing w:line="360" w:lineRule="auto"/>
              <w:ind w:left="76"/>
              <w:jc w:val="both"/>
              <w:rPr>
                <w:rFonts w:ascii="Times New Roman" w:hAnsi="Times New Roman"/>
                <w:sz w:val="22"/>
                <w:szCs w:val="22"/>
              </w:rPr>
            </w:pPr>
            <w:r w:rsidRPr="0097670D">
              <w:rPr>
                <w:rFonts w:ascii="Times New Roman" w:hAnsi="Times New Roman"/>
                <w:sz w:val="22"/>
                <w:szCs w:val="22"/>
              </w:rPr>
              <w:t>Have you got any consideration for the arguments we have just talked about?</w:t>
            </w:r>
          </w:p>
        </w:tc>
      </w:tr>
    </w:tbl>
    <w:p w14:paraId="257F5AE6" w14:textId="77777777" w:rsidR="00686DE6" w:rsidRPr="0097670D" w:rsidRDefault="00686DE6" w:rsidP="00686DE6">
      <w:pPr>
        <w:rPr>
          <w:sz w:val="20"/>
          <w:szCs w:val="20"/>
        </w:rPr>
      </w:pPr>
      <w:r w:rsidRPr="0097670D">
        <w:rPr>
          <w:sz w:val="20"/>
          <w:szCs w:val="20"/>
        </w:rPr>
        <w:br w:type="page"/>
      </w:r>
    </w:p>
    <w:p w14:paraId="21CEFEFA" w14:textId="77777777" w:rsidR="00686DE6" w:rsidRPr="0097670D" w:rsidRDefault="00686DE6" w:rsidP="00686DE6">
      <w:pPr>
        <w:rPr>
          <w:sz w:val="20"/>
          <w:szCs w:val="20"/>
        </w:rPr>
        <w:sectPr w:rsidR="00686DE6" w:rsidRPr="0097670D" w:rsidSect="00686DE6">
          <w:headerReference w:type="even" r:id="rId10"/>
          <w:headerReference w:type="default" r:id="rId11"/>
          <w:footerReference w:type="default" r:id="rId12"/>
          <w:pgSz w:w="11906" w:h="16838"/>
          <w:pgMar w:top="1134" w:right="1701" w:bottom="1701" w:left="1701" w:header="709" w:footer="709" w:gutter="0"/>
          <w:cols w:space="708"/>
          <w:docGrid w:linePitch="360"/>
        </w:sectPr>
      </w:pPr>
    </w:p>
    <w:p w14:paraId="1D188A00" w14:textId="77777777" w:rsidR="00686DE6" w:rsidRPr="0097670D" w:rsidRDefault="00686DE6" w:rsidP="00686DE6">
      <w:pPr>
        <w:widowControl w:val="0"/>
        <w:autoSpaceDE w:val="0"/>
        <w:autoSpaceDN w:val="0"/>
        <w:adjustRightInd w:val="0"/>
        <w:spacing w:line="360" w:lineRule="auto"/>
        <w:ind w:left="480" w:hanging="622"/>
        <w:rPr>
          <w:b/>
          <w:bCs/>
        </w:rPr>
      </w:pPr>
      <w:r w:rsidRPr="0097670D">
        <w:rPr>
          <w:b/>
          <w:bCs/>
        </w:rPr>
        <w:lastRenderedPageBreak/>
        <w:t>Appendix 3. Summary of the coding activity with some sample quotations</w:t>
      </w:r>
    </w:p>
    <w:tbl>
      <w:tblPr>
        <w:tblStyle w:val="Grigliatabella"/>
        <w:tblW w:w="14854" w:type="dxa"/>
        <w:tblInd w:w="-142" w:type="dxa"/>
        <w:tblLook w:val="04A0" w:firstRow="1" w:lastRow="0" w:firstColumn="1" w:lastColumn="0" w:noHBand="0" w:noVBand="1"/>
      </w:tblPr>
      <w:tblGrid>
        <w:gridCol w:w="1843"/>
        <w:gridCol w:w="8222"/>
        <w:gridCol w:w="2110"/>
        <w:gridCol w:w="1287"/>
        <w:gridCol w:w="1392"/>
      </w:tblGrid>
      <w:tr w:rsidR="00686DE6" w:rsidRPr="0097670D" w14:paraId="2EBD34A6" w14:textId="77777777" w:rsidTr="00686DE6">
        <w:tc>
          <w:tcPr>
            <w:tcW w:w="1843" w:type="dxa"/>
            <w:tcBorders>
              <w:top w:val="single" w:sz="4" w:space="0" w:color="auto"/>
              <w:bottom w:val="single" w:sz="4" w:space="0" w:color="auto"/>
            </w:tcBorders>
          </w:tcPr>
          <w:p w14:paraId="5172D8EC" w14:textId="77777777" w:rsidR="00686DE6" w:rsidRPr="0097670D" w:rsidRDefault="00686DE6" w:rsidP="00686DE6">
            <w:pPr>
              <w:jc w:val="center"/>
              <w:rPr>
                <w:rFonts w:ascii="Times New Roman" w:hAnsi="Times New Roman"/>
                <w:b/>
                <w:bCs/>
                <w:sz w:val="20"/>
                <w:szCs w:val="20"/>
              </w:rPr>
            </w:pPr>
            <w:r w:rsidRPr="0097670D">
              <w:rPr>
                <w:rFonts w:ascii="Times New Roman" w:hAnsi="Times New Roman"/>
                <w:b/>
                <w:bCs/>
                <w:sz w:val="20"/>
                <w:szCs w:val="20"/>
              </w:rPr>
              <w:t>Interviewee</w:t>
            </w:r>
          </w:p>
        </w:tc>
        <w:tc>
          <w:tcPr>
            <w:tcW w:w="8222" w:type="dxa"/>
            <w:tcBorders>
              <w:top w:val="single" w:sz="4" w:space="0" w:color="auto"/>
              <w:bottom w:val="single" w:sz="4" w:space="0" w:color="auto"/>
            </w:tcBorders>
          </w:tcPr>
          <w:p w14:paraId="3DF8B50B" w14:textId="77777777" w:rsidR="00686DE6" w:rsidRPr="0097670D" w:rsidRDefault="00686DE6" w:rsidP="00686DE6">
            <w:pPr>
              <w:jc w:val="center"/>
              <w:rPr>
                <w:rFonts w:ascii="Times New Roman" w:hAnsi="Times New Roman"/>
                <w:b/>
                <w:bCs/>
                <w:sz w:val="20"/>
                <w:szCs w:val="20"/>
              </w:rPr>
            </w:pPr>
            <w:r w:rsidRPr="0097670D">
              <w:rPr>
                <w:rFonts w:ascii="Times New Roman" w:hAnsi="Times New Roman"/>
                <w:b/>
                <w:bCs/>
                <w:sz w:val="20"/>
                <w:szCs w:val="20"/>
              </w:rPr>
              <w:t>Quotes</w:t>
            </w:r>
          </w:p>
        </w:tc>
        <w:tc>
          <w:tcPr>
            <w:tcW w:w="2110" w:type="dxa"/>
            <w:tcBorders>
              <w:top w:val="single" w:sz="4" w:space="0" w:color="auto"/>
              <w:bottom w:val="single" w:sz="4" w:space="0" w:color="auto"/>
            </w:tcBorders>
          </w:tcPr>
          <w:p w14:paraId="094642A3" w14:textId="77777777" w:rsidR="00686DE6" w:rsidRPr="0097670D" w:rsidRDefault="00686DE6" w:rsidP="00686DE6">
            <w:pPr>
              <w:jc w:val="center"/>
              <w:rPr>
                <w:rFonts w:ascii="Times New Roman" w:hAnsi="Times New Roman"/>
                <w:b/>
                <w:bCs/>
                <w:sz w:val="20"/>
                <w:szCs w:val="20"/>
              </w:rPr>
            </w:pPr>
            <w:r w:rsidRPr="0097670D">
              <w:rPr>
                <w:rFonts w:ascii="Times New Roman" w:hAnsi="Times New Roman"/>
                <w:b/>
                <w:bCs/>
                <w:sz w:val="20"/>
                <w:szCs w:val="20"/>
              </w:rPr>
              <w:t>Code 1</w:t>
            </w:r>
          </w:p>
        </w:tc>
        <w:tc>
          <w:tcPr>
            <w:tcW w:w="1287" w:type="dxa"/>
            <w:tcBorders>
              <w:top w:val="single" w:sz="4" w:space="0" w:color="auto"/>
              <w:bottom w:val="single" w:sz="4" w:space="0" w:color="auto"/>
            </w:tcBorders>
            <w:vAlign w:val="center"/>
          </w:tcPr>
          <w:p w14:paraId="6777204F" w14:textId="77777777" w:rsidR="00686DE6" w:rsidRPr="0097670D" w:rsidRDefault="00686DE6" w:rsidP="00686DE6">
            <w:pPr>
              <w:jc w:val="center"/>
              <w:rPr>
                <w:rFonts w:ascii="Times New Roman" w:hAnsi="Times New Roman"/>
                <w:b/>
                <w:bCs/>
                <w:sz w:val="20"/>
                <w:szCs w:val="20"/>
              </w:rPr>
            </w:pPr>
            <w:r w:rsidRPr="0097670D">
              <w:rPr>
                <w:rFonts w:ascii="Times New Roman" w:hAnsi="Times New Roman"/>
                <w:b/>
                <w:bCs/>
                <w:sz w:val="20"/>
                <w:szCs w:val="20"/>
              </w:rPr>
              <w:t>Code 2</w:t>
            </w:r>
          </w:p>
        </w:tc>
        <w:tc>
          <w:tcPr>
            <w:tcW w:w="1392" w:type="dxa"/>
            <w:tcBorders>
              <w:top w:val="single" w:sz="4" w:space="0" w:color="auto"/>
              <w:bottom w:val="single" w:sz="4" w:space="0" w:color="auto"/>
            </w:tcBorders>
          </w:tcPr>
          <w:p w14:paraId="601F6046" w14:textId="77777777" w:rsidR="00686DE6" w:rsidRPr="0097670D" w:rsidRDefault="00686DE6" w:rsidP="00686DE6">
            <w:pPr>
              <w:jc w:val="center"/>
              <w:rPr>
                <w:rFonts w:ascii="Times New Roman" w:hAnsi="Times New Roman"/>
                <w:b/>
                <w:bCs/>
                <w:sz w:val="20"/>
                <w:szCs w:val="20"/>
              </w:rPr>
            </w:pPr>
            <w:r w:rsidRPr="0097670D">
              <w:rPr>
                <w:rFonts w:ascii="Times New Roman" w:hAnsi="Times New Roman"/>
                <w:b/>
                <w:bCs/>
                <w:sz w:val="20"/>
                <w:szCs w:val="20"/>
              </w:rPr>
              <w:t>Code 3</w:t>
            </w:r>
          </w:p>
        </w:tc>
      </w:tr>
      <w:tr w:rsidR="00686DE6" w:rsidRPr="0097670D" w14:paraId="7FDF5CC1" w14:textId="77777777" w:rsidTr="00686DE6">
        <w:tc>
          <w:tcPr>
            <w:tcW w:w="1843" w:type="dxa"/>
            <w:tcBorders>
              <w:top w:val="single" w:sz="4" w:space="0" w:color="auto"/>
              <w:bottom w:val="single" w:sz="4" w:space="0" w:color="auto"/>
            </w:tcBorders>
            <w:vAlign w:val="center"/>
          </w:tcPr>
          <w:p w14:paraId="2B998844" w14:textId="77777777" w:rsidR="00686DE6" w:rsidRPr="0097670D" w:rsidRDefault="00686DE6" w:rsidP="00686DE6">
            <w:pPr>
              <w:jc w:val="both"/>
              <w:rPr>
                <w:rFonts w:ascii="Times New Roman" w:hAnsi="Times New Roman"/>
                <w:sz w:val="20"/>
                <w:szCs w:val="20"/>
              </w:rPr>
            </w:pPr>
            <w:r w:rsidRPr="0097670D">
              <w:rPr>
                <w:rFonts w:ascii="Times New Roman" w:hAnsi="Times New Roman"/>
                <w:sz w:val="20"/>
                <w:szCs w:val="20"/>
              </w:rPr>
              <w:t>Family doctor</w:t>
            </w:r>
          </w:p>
        </w:tc>
        <w:tc>
          <w:tcPr>
            <w:tcW w:w="8222" w:type="dxa"/>
            <w:tcBorders>
              <w:top w:val="single" w:sz="4" w:space="0" w:color="auto"/>
              <w:bottom w:val="single" w:sz="4" w:space="0" w:color="auto"/>
            </w:tcBorders>
            <w:vAlign w:val="center"/>
          </w:tcPr>
          <w:p w14:paraId="3C0D68E1" w14:textId="77777777" w:rsidR="00686DE6" w:rsidRPr="0097670D" w:rsidRDefault="00686DE6" w:rsidP="00686DE6">
            <w:pPr>
              <w:jc w:val="both"/>
              <w:rPr>
                <w:rFonts w:ascii="Times New Roman" w:hAnsi="Times New Roman"/>
                <w:sz w:val="20"/>
                <w:szCs w:val="20"/>
              </w:rPr>
            </w:pPr>
            <w:r w:rsidRPr="0097670D">
              <w:rPr>
                <w:rFonts w:ascii="Times New Roman" w:hAnsi="Times New Roman"/>
                <w:i/>
                <w:iCs/>
                <w:sz w:val="20"/>
                <w:szCs w:val="20"/>
              </w:rPr>
              <w:t xml:space="preserve">“[…] It is very important that the patient is aware of his/her health condition, because only in this way he/she </w:t>
            </w:r>
            <w:proofErr w:type="gramStart"/>
            <w:r w:rsidRPr="0097670D">
              <w:rPr>
                <w:rFonts w:ascii="Times New Roman" w:hAnsi="Times New Roman"/>
                <w:i/>
                <w:iCs/>
                <w:sz w:val="20"/>
                <w:szCs w:val="20"/>
              </w:rPr>
              <w:t>can</w:t>
            </w:r>
            <w:proofErr w:type="gramEnd"/>
            <w:r w:rsidRPr="0097670D">
              <w:rPr>
                <w:rFonts w:ascii="Times New Roman" w:hAnsi="Times New Roman"/>
                <w:i/>
                <w:iCs/>
                <w:sz w:val="20"/>
                <w:szCs w:val="20"/>
              </w:rPr>
              <w:t xml:space="preserve"> compliant to the therapy by avoiding the risk of underestimating the illness, which may bring future complications. […]”</w:t>
            </w:r>
          </w:p>
        </w:tc>
        <w:tc>
          <w:tcPr>
            <w:tcW w:w="2110" w:type="dxa"/>
            <w:tcBorders>
              <w:top w:val="single" w:sz="4" w:space="0" w:color="auto"/>
              <w:bottom w:val="single" w:sz="4" w:space="0" w:color="auto"/>
            </w:tcBorders>
            <w:vAlign w:val="center"/>
          </w:tcPr>
          <w:p w14:paraId="697D40D9"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Information symmetry</w:t>
            </w:r>
          </w:p>
        </w:tc>
        <w:tc>
          <w:tcPr>
            <w:tcW w:w="1287" w:type="dxa"/>
            <w:tcBorders>
              <w:top w:val="single" w:sz="4" w:space="0" w:color="auto"/>
              <w:bottom w:val="single" w:sz="4" w:space="0" w:color="auto"/>
            </w:tcBorders>
            <w:vAlign w:val="center"/>
          </w:tcPr>
          <w:p w14:paraId="052DBF1E"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VCC HIGH</w:t>
            </w:r>
          </w:p>
        </w:tc>
        <w:tc>
          <w:tcPr>
            <w:tcW w:w="1392" w:type="dxa"/>
            <w:tcBorders>
              <w:top w:val="single" w:sz="4" w:space="0" w:color="auto"/>
              <w:bottom w:val="single" w:sz="4" w:space="0" w:color="auto"/>
            </w:tcBorders>
            <w:vAlign w:val="center"/>
          </w:tcPr>
          <w:p w14:paraId="4709A628"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Archetype 2</w:t>
            </w:r>
          </w:p>
          <w:p w14:paraId="58383894"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Archetype 3</w:t>
            </w:r>
          </w:p>
        </w:tc>
      </w:tr>
      <w:tr w:rsidR="00686DE6" w:rsidRPr="0097670D" w14:paraId="3995E0CA" w14:textId="77777777" w:rsidTr="00686DE6">
        <w:tc>
          <w:tcPr>
            <w:tcW w:w="1843" w:type="dxa"/>
            <w:tcBorders>
              <w:top w:val="single" w:sz="4" w:space="0" w:color="auto"/>
              <w:bottom w:val="single" w:sz="4" w:space="0" w:color="auto"/>
            </w:tcBorders>
            <w:vAlign w:val="center"/>
          </w:tcPr>
          <w:p w14:paraId="36F653E5" w14:textId="77777777" w:rsidR="00686DE6" w:rsidRPr="0097670D" w:rsidRDefault="00686DE6" w:rsidP="00686DE6">
            <w:pPr>
              <w:jc w:val="both"/>
              <w:rPr>
                <w:rFonts w:ascii="Times New Roman" w:hAnsi="Times New Roman"/>
                <w:sz w:val="20"/>
                <w:szCs w:val="20"/>
              </w:rPr>
            </w:pPr>
            <w:r w:rsidRPr="0097670D">
              <w:rPr>
                <w:rFonts w:ascii="Times New Roman" w:hAnsi="Times New Roman"/>
                <w:sz w:val="20"/>
                <w:szCs w:val="20"/>
              </w:rPr>
              <w:t>Emergency surgeon</w:t>
            </w:r>
          </w:p>
        </w:tc>
        <w:tc>
          <w:tcPr>
            <w:tcW w:w="8222" w:type="dxa"/>
            <w:tcBorders>
              <w:top w:val="single" w:sz="4" w:space="0" w:color="auto"/>
              <w:bottom w:val="single" w:sz="4" w:space="0" w:color="auto"/>
            </w:tcBorders>
            <w:vAlign w:val="center"/>
          </w:tcPr>
          <w:p w14:paraId="22FD54BB" w14:textId="77777777" w:rsidR="00686DE6" w:rsidRPr="0097670D" w:rsidRDefault="00686DE6" w:rsidP="00686DE6">
            <w:pPr>
              <w:jc w:val="both"/>
              <w:rPr>
                <w:rFonts w:ascii="Times New Roman" w:hAnsi="Times New Roman"/>
                <w:sz w:val="20"/>
                <w:szCs w:val="20"/>
              </w:rPr>
            </w:pPr>
            <w:r w:rsidRPr="0097670D">
              <w:rPr>
                <w:rFonts w:ascii="Times New Roman" w:hAnsi="Times New Roman"/>
                <w:i/>
                <w:iCs/>
                <w:sz w:val="20"/>
                <w:szCs w:val="20"/>
              </w:rPr>
              <w:t>“[…] At the emergency department, the patients are generally aggressive, impatient […] In this context there is no trust between the patient and the physician. Most of the times they have speculative reasons and although we, medical professionals, understand these situations we cannot do anything but follow strictly the procedures to avoid any problem […]”</w:t>
            </w:r>
          </w:p>
        </w:tc>
        <w:tc>
          <w:tcPr>
            <w:tcW w:w="2110" w:type="dxa"/>
            <w:tcBorders>
              <w:top w:val="single" w:sz="4" w:space="0" w:color="auto"/>
              <w:bottom w:val="single" w:sz="4" w:space="0" w:color="auto"/>
            </w:tcBorders>
            <w:vAlign w:val="center"/>
          </w:tcPr>
          <w:p w14:paraId="6BA849EC"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Mistrust,</w:t>
            </w:r>
          </w:p>
          <w:p w14:paraId="3228C138"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Service standardization</w:t>
            </w:r>
          </w:p>
        </w:tc>
        <w:tc>
          <w:tcPr>
            <w:tcW w:w="1287" w:type="dxa"/>
            <w:tcBorders>
              <w:top w:val="single" w:sz="4" w:space="0" w:color="auto"/>
              <w:bottom w:val="single" w:sz="4" w:space="0" w:color="auto"/>
            </w:tcBorders>
            <w:vAlign w:val="center"/>
          </w:tcPr>
          <w:p w14:paraId="60895D21"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VCC LOW</w:t>
            </w:r>
          </w:p>
          <w:p w14:paraId="10C6A863"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DM HIGH</w:t>
            </w:r>
          </w:p>
        </w:tc>
        <w:tc>
          <w:tcPr>
            <w:tcW w:w="1392" w:type="dxa"/>
            <w:tcBorders>
              <w:top w:val="single" w:sz="4" w:space="0" w:color="auto"/>
              <w:bottom w:val="single" w:sz="4" w:space="0" w:color="auto"/>
            </w:tcBorders>
            <w:vAlign w:val="center"/>
          </w:tcPr>
          <w:p w14:paraId="303698EF"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 xml:space="preserve">Archetype </w:t>
            </w:r>
            <w:r w:rsidRPr="0097670D">
              <w:rPr>
                <w:rFonts w:ascii="Times New Roman" w:hAnsi="Times New Roman"/>
                <w:color w:val="000000"/>
                <w:sz w:val="20"/>
                <w:szCs w:val="20"/>
              </w:rPr>
              <w:t>4</w:t>
            </w:r>
          </w:p>
        </w:tc>
      </w:tr>
      <w:tr w:rsidR="00686DE6" w:rsidRPr="0097670D" w14:paraId="0EA65847" w14:textId="77777777" w:rsidTr="00686DE6">
        <w:tc>
          <w:tcPr>
            <w:tcW w:w="1843" w:type="dxa"/>
            <w:tcBorders>
              <w:top w:val="single" w:sz="4" w:space="0" w:color="auto"/>
              <w:bottom w:val="single" w:sz="4" w:space="0" w:color="auto"/>
            </w:tcBorders>
            <w:vAlign w:val="center"/>
          </w:tcPr>
          <w:p w14:paraId="45DD88AA" w14:textId="77777777" w:rsidR="00686DE6" w:rsidRPr="0097670D" w:rsidRDefault="00686DE6" w:rsidP="00686DE6">
            <w:pPr>
              <w:jc w:val="both"/>
              <w:rPr>
                <w:rFonts w:ascii="Times New Roman" w:hAnsi="Times New Roman"/>
                <w:sz w:val="20"/>
                <w:szCs w:val="20"/>
              </w:rPr>
            </w:pPr>
            <w:r w:rsidRPr="0097670D">
              <w:rPr>
                <w:rFonts w:ascii="Times New Roman" w:hAnsi="Times New Roman"/>
                <w:sz w:val="20"/>
                <w:szCs w:val="20"/>
              </w:rPr>
              <w:t>Emergency surgeon</w:t>
            </w:r>
          </w:p>
        </w:tc>
        <w:tc>
          <w:tcPr>
            <w:tcW w:w="8222" w:type="dxa"/>
            <w:tcBorders>
              <w:top w:val="single" w:sz="4" w:space="0" w:color="auto"/>
              <w:bottom w:val="single" w:sz="4" w:space="0" w:color="auto"/>
            </w:tcBorders>
            <w:vAlign w:val="center"/>
          </w:tcPr>
          <w:p w14:paraId="5ED0AF15" w14:textId="77777777" w:rsidR="00686DE6" w:rsidRPr="0097670D" w:rsidRDefault="00686DE6" w:rsidP="00686DE6">
            <w:pPr>
              <w:jc w:val="both"/>
              <w:rPr>
                <w:rFonts w:ascii="Times New Roman" w:hAnsi="Times New Roman"/>
                <w:i/>
                <w:iCs/>
                <w:sz w:val="20"/>
                <w:szCs w:val="20"/>
              </w:rPr>
            </w:pPr>
            <w:r w:rsidRPr="0097670D">
              <w:rPr>
                <w:rFonts w:ascii="Times New Roman" w:hAnsi="Times New Roman"/>
                <w:i/>
                <w:iCs/>
                <w:sz w:val="20"/>
                <w:szCs w:val="20"/>
              </w:rPr>
              <w:t>“[…] When the patient put the medical professional under pressure to receive any answer, he/she prescribes more diagnostic tests and exams, or more specialist consultants in order to avoid the risk of legal actions by the unsatisfied patient. […]”</w:t>
            </w:r>
          </w:p>
        </w:tc>
        <w:tc>
          <w:tcPr>
            <w:tcW w:w="2110" w:type="dxa"/>
            <w:tcBorders>
              <w:top w:val="single" w:sz="4" w:space="0" w:color="auto"/>
              <w:bottom w:val="single" w:sz="4" w:space="0" w:color="auto"/>
            </w:tcBorders>
            <w:vAlign w:val="center"/>
          </w:tcPr>
          <w:p w14:paraId="06D9A3DB"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Demanding patient, High risk of lawsuits</w:t>
            </w:r>
          </w:p>
        </w:tc>
        <w:tc>
          <w:tcPr>
            <w:tcW w:w="1287" w:type="dxa"/>
            <w:tcBorders>
              <w:top w:val="single" w:sz="4" w:space="0" w:color="auto"/>
              <w:bottom w:val="single" w:sz="4" w:space="0" w:color="auto"/>
            </w:tcBorders>
            <w:vAlign w:val="center"/>
          </w:tcPr>
          <w:p w14:paraId="666FB943"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DM HIGH</w:t>
            </w:r>
          </w:p>
        </w:tc>
        <w:tc>
          <w:tcPr>
            <w:tcW w:w="1392" w:type="dxa"/>
            <w:tcBorders>
              <w:top w:val="single" w:sz="4" w:space="0" w:color="auto"/>
              <w:bottom w:val="single" w:sz="4" w:space="0" w:color="auto"/>
            </w:tcBorders>
            <w:vAlign w:val="center"/>
          </w:tcPr>
          <w:p w14:paraId="67231BB9"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Archetype 3</w:t>
            </w:r>
          </w:p>
          <w:p w14:paraId="48EB86FC"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Archetype 4</w:t>
            </w:r>
          </w:p>
        </w:tc>
      </w:tr>
      <w:tr w:rsidR="00686DE6" w:rsidRPr="0097670D" w14:paraId="59E0184D" w14:textId="77777777" w:rsidTr="00686DE6">
        <w:tc>
          <w:tcPr>
            <w:tcW w:w="1843" w:type="dxa"/>
            <w:tcBorders>
              <w:top w:val="single" w:sz="4" w:space="0" w:color="auto"/>
              <w:bottom w:val="single" w:sz="4" w:space="0" w:color="auto"/>
            </w:tcBorders>
            <w:vAlign w:val="center"/>
          </w:tcPr>
          <w:p w14:paraId="1E955065" w14:textId="77777777" w:rsidR="00686DE6" w:rsidRPr="0097670D" w:rsidRDefault="00686DE6" w:rsidP="00686DE6">
            <w:pPr>
              <w:jc w:val="both"/>
              <w:rPr>
                <w:rFonts w:ascii="Times New Roman" w:hAnsi="Times New Roman"/>
                <w:sz w:val="20"/>
                <w:szCs w:val="20"/>
              </w:rPr>
            </w:pPr>
            <w:r w:rsidRPr="0097670D">
              <w:rPr>
                <w:rFonts w:ascii="Times New Roman" w:hAnsi="Times New Roman"/>
                <w:sz w:val="20"/>
                <w:szCs w:val="20"/>
              </w:rPr>
              <w:t>Radiologist</w:t>
            </w:r>
          </w:p>
        </w:tc>
        <w:tc>
          <w:tcPr>
            <w:tcW w:w="8222" w:type="dxa"/>
            <w:tcBorders>
              <w:top w:val="single" w:sz="4" w:space="0" w:color="auto"/>
              <w:bottom w:val="single" w:sz="4" w:space="0" w:color="auto"/>
            </w:tcBorders>
            <w:vAlign w:val="center"/>
          </w:tcPr>
          <w:p w14:paraId="6139F9CC" w14:textId="77777777" w:rsidR="00686DE6" w:rsidRPr="0097670D" w:rsidRDefault="00686DE6" w:rsidP="00686DE6">
            <w:pPr>
              <w:jc w:val="both"/>
              <w:rPr>
                <w:rFonts w:ascii="Times New Roman" w:hAnsi="Times New Roman"/>
                <w:i/>
                <w:iCs/>
                <w:sz w:val="20"/>
                <w:szCs w:val="20"/>
              </w:rPr>
            </w:pPr>
            <w:r w:rsidRPr="0097670D">
              <w:rPr>
                <w:rFonts w:ascii="Times New Roman" w:hAnsi="Times New Roman"/>
                <w:i/>
                <w:iCs/>
                <w:sz w:val="20"/>
                <w:szCs w:val="20"/>
              </w:rPr>
              <w:t xml:space="preserve">“[…] The first time a patient meets a medical professional he/she will assume a mistrust </w:t>
            </w:r>
            <w:proofErr w:type="gramStart"/>
            <w:r w:rsidRPr="0097670D">
              <w:rPr>
                <w:rFonts w:ascii="Times New Roman" w:hAnsi="Times New Roman"/>
                <w:i/>
                <w:iCs/>
                <w:sz w:val="20"/>
                <w:szCs w:val="20"/>
              </w:rPr>
              <w:t>attitude,</w:t>
            </w:r>
            <w:proofErr w:type="gramEnd"/>
            <w:r w:rsidRPr="0097670D">
              <w:rPr>
                <w:rFonts w:ascii="Times New Roman" w:hAnsi="Times New Roman"/>
                <w:i/>
                <w:iCs/>
                <w:sz w:val="20"/>
                <w:szCs w:val="20"/>
              </w:rPr>
              <w:t xml:space="preserve"> this brings the doctor to put extra effort to eliminate this barrier. Unfortunately, this requires time and very often happens that I see the patients just once or twice. […] When you do not know a </w:t>
            </w:r>
            <w:proofErr w:type="gramStart"/>
            <w:r w:rsidRPr="0097670D">
              <w:rPr>
                <w:rFonts w:ascii="Times New Roman" w:hAnsi="Times New Roman"/>
                <w:i/>
                <w:iCs/>
                <w:sz w:val="20"/>
                <w:szCs w:val="20"/>
              </w:rPr>
              <w:t>person</w:t>
            </w:r>
            <w:proofErr w:type="gramEnd"/>
            <w:r w:rsidRPr="0097670D">
              <w:rPr>
                <w:rFonts w:ascii="Times New Roman" w:hAnsi="Times New Roman"/>
                <w:i/>
                <w:iCs/>
                <w:sz w:val="20"/>
                <w:szCs w:val="20"/>
              </w:rPr>
              <w:t xml:space="preserve"> you cannot trust enough so we act defensively by default. […]”</w:t>
            </w:r>
          </w:p>
        </w:tc>
        <w:tc>
          <w:tcPr>
            <w:tcW w:w="2110" w:type="dxa"/>
            <w:tcBorders>
              <w:top w:val="single" w:sz="4" w:space="0" w:color="auto"/>
              <w:bottom w:val="single" w:sz="4" w:space="0" w:color="auto"/>
            </w:tcBorders>
            <w:vAlign w:val="center"/>
          </w:tcPr>
          <w:p w14:paraId="0830EF6A"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Relationship length, mistrust</w:t>
            </w:r>
          </w:p>
        </w:tc>
        <w:tc>
          <w:tcPr>
            <w:tcW w:w="1287" w:type="dxa"/>
            <w:tcBorders>
              <w:top w:val="single" w:sz="4" w:space="0" w:color="auto"/>
              <w:bottom w:val="single" w:sz="4" w:space="0" w:color="auto"/>
            </w:tcBorders>
            <w:vAlign w:val="center"/>
          </w:tcPr>
          <w:p w14:paraId="585D62FD"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DM HIGH</w:t>
            </w:r>
          </w:p>
        </w:tc>
        <w:tc>
          <w:tcPr>
            <w:tcW w:w="1392" w:type="dxa"/>
            <w:tcBorders>
              <w:top w:val="single" w:sz="4" w:space="0" w:color="auto"/>
              <w:bottom w:val="single" w:sz="4" w:space="0" w:color="auto"/>
            </w:tcBorders>
            <w:vAlign w:val="center"/>
          </w:tcPr>
          <w:p w14:paraId="11AB6791"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Archetype 3</w:t>
            </w:r>
          </w:p>
          <w:p w14:paraId="77B0EF7A"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Archetype 4</w:t>
            </w:r>
          </w:p>
        </w:tc>
      </w:tr>
      <w:tr w:rsidR="00686DE6" w:rsidRPr="0097670D" w14:paraId="45D161C3" w14:textId="77777777" w:rsidTr="00686DE6">
        <w:tc>
          <w:tcPr>
            <w:tcW w:w="1843" w:type="dxa"/>
            <w:tcBorders>
              <w:top w:val="single" w:sz="4" w:space="0" w:color="auto"/>
              <w:bottom w:val="single" w:sz="4" w:space="0" w:color="auto"/>
            </w:tcBorders>
            <w:vAlign w:val="center"/>
          </w:tcPr>
          <w:p w14:paraId="05111AEB" w14:textId="77777777" w:rsidR="00686DE6" w:rsidRPr="0097670D" w:rsidRDefault="00686DE6" w:rsidP="00686DE6">
            <w:pPr>
              <w:jc w:val="both"/>
              <w:rPr>
                <w:rFonts w:ascii="Times New Roman" w:hAnsi="Times New Roman"/>
                <w:sz w:val="20"/>
                <w:szCs w:val="20"/>
              </w:rPr>
            </w:pPr>
            <w:r w:rsidRPr="0097670D">
              <w:rPr>
                <w:rFonts w:ascii="Times New Roman" w:hAnsi="Times New Roman"/>
                <w:sz w:val="20"/>
                <w:szCs w:val="20"/>
              </w:rPr>
              <w:t>Internist</w:t>
            </w:r>
          </w:p>
        </w:tc>
        <w:tc>
          <w:tcPr>
            <w:tcW w:w="8222" w:type="dxa"/>
            <w:tcBorders>
              <w:top w:val="single" w:sz="4" w:space="0" w:color="auto"/>
              <w:bottom w:val="single" w:sz="4" w:space="0" w:color="auto"/>
            </w:tcBorders>
            <w:vAlign w:val="center"/>
          </w:tcPr>
          <w:p w14:paraId="7C424DC8" w14:textId="77777777" w:rsidR="00686DE6" w:rsidRPr="0097670D" w:rsidRDefault="00686DE6" w:rsidP="00686DE6">
            <w:pPr>
              <w:jc w:val="both"/>
              <w:rPr>
                <w:rFonts w:ascii="Times New Roman" w:hAnsi="Times New Roman"/>
                <w:i/>
                <w:iCs/>
                <w:sz w:val="20"/>
                <w:szCs w:val="20"/>
              </w:rPr>
            </w:pPr>
            <w:r w:rsidRPr="0097670D">
              <w:rPr>
                <w:rFonts w:ascii="Times New Roman" w:hAnsi="Times New Roman"/>
                <w:i/>
                <w:iCs/>
                <w:sz w:val="20"/>
                <w:szCs w:val="20"/>
              </w:rPr>
              <w:t>“[…] I think that is fundamental that the therapy has to be adapted to the patient’s needs, otherwise he/she will not be compliant. […] When a patient complies with the therapy and pays attention to the diet, he/she see immediately the positive results on his/her quality of life. […] When you give attention to the patients, they feel more satisfied and, as consequence, we feel less pressure from the risk of lawsuits. […]”</w:t>
            </w:r>
          </w:p>
        </w:tc>
        <w:tc>
          <w:tcPr>
            <w:tcW w:w="2110" w:type="dxa"/>
            <w:tcBorders>
              <w:top w:val="single" w:sz="4" w:space="0" w:color="auto"/>
              <w:bottom w:val="single" w:sz="4" w:space="0" w:color="auto"/>
            </w:tcBorders>
            <w:vAlign w:val="center"/>
          </w:tcPr>
          <w:p w14:paraId="16AEFC80"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 xml:space="preserve">Attention to patient’s needs, </w:t>
            </w:r>
          </w:p>
          <w:p w14:paraId="5219844E"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service personalization</w:t>
            </w:r>
          </w:p>
        </w:tc>
        <w:tc>
          <w:tcPr>
            <w:tcW w:w="1287" w:type="dxa"/>
            <w:tcBorders>
              <w:top w:val="single" w:sz="4" w:space="0" w:color="auto"/>
              <w:bottom w:val="single" w:sz="4" w:space="0" w:color="auto"/>
            </w:tcBorders>
            <w:vAlign w:val="center"/>
          </w:tcPr>
          <w:p w14:paraId="37F57AF4"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VCC HIGH</w:t>
            </w:r>
          </w:p>
          <w:p w14:paraId="5F7ABB94"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DM LOW</w:t>
            </w:r>
          </w:p>
        </w:tc>
        <w:tc>
          <w:tcPr>
            <w:tcW w:w="1392" w:type="dxa"/>
            <w:tcBorders>
              <w:top w:val="single" w:sz="4" w:space="0" w:color="auto"/>
              <w:bottom w:val="single" w:sz="4" w:space="0" w:color="auto"/>
            </w:tcBorders>
            <w:vAlign w:val="center"/>
          </w:tcPr>
          <w:p w14:paraId="027B0DE9"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Archetype 2</w:t>
            </w:r>
          </w:p>
        </w:tc>
      </w:tr>
      <w:tr w:rsidR="00686DE6" w:rsidRPr="0097670D" w14:paraId="2D1F5B96" w14:textId="77777777" w:rsidTr="00686DE6">
        <w:tc>
          <w:tcPr>
            <w:tcW w:w="1843" w:type="dxa"/>
            <w:tcBorders>
              <w:top w:val="single" w:sz="4" w:space="0" w:color="auto"/>
              <w:bottom w:val="single" w:sz="4" w:space="0" w:color="auto"/>
            </w:tcBorders>
            <w:vAlign w:val="center"/>
          </w:tcPr>
          <w:p w14:paraId="0CA03F93" w14:textId="77777777" w:rsidR="00686DE6" w:rsidRPr="0097670D" w:rsidDel="00B92BB0" w:rsidRDefault="00686DE6" w:rsidP="00686DE6">
            <w:pPr>
              <w:jc w:val="both"/>
              <w:rPr>
                <w:rFonts w:ascii="Times New Roman" w:hAnsi="Times New Roman"/>
                <w:sz w:val="20"/>
                <w:szCs w:val="20"/>
              </w:rPr>
            </w:pPr>
            <w:r w:rsidRPr="0097670D">
              <w:rPr>
                <w:rFonts w:ascii="Times New Roman" w:hAnsi="Times New Roman"/>
                <w:sz w:val="20"/>
                <w:szCs w:val="20"/>
              </w:rPr>
              <w:t>Internist</w:t>
            </w:r>
          </w:p>
        </w:tc>
        <w:tc>
          <w:tcPr>
            <w:tcW w:w="8222" w:type="dxa"/>
            <w:tcBorders>
              <w:top w:val="single" w:sz="4" w:space="0" w:color="auto"/>
              <w:bottom w:val="single" w:sz="4" w:space="0" w:color="auto"/>
            </w:tcBorders>
            <w:vAlign w:val="center"/>
          </w:tcPr>
          <w:p w14:paraId="7AB3AAB0" w14:textId="77777777" w:rsidR="00686DE6" w:rsidRPr="0097670D" w:rsidRDefault="00686DE6" w:rsidP="00686DE6">
            <w:pPr>
              <w:jc w:val="both"/>
              <w:rPr>
                <w:rFonts w:ascii="Times New Roman" w:hAnsi="Times New Roman"/>
                <w:i/>
                <w:iCs/>
                <w:sz w:val="20"/>
                <w:szCs w:val="20"/>
              </w:rPr>
            </w:pPr>
            <w:r w:rsidRPr="0097670D">
              <w:rPr>
                <w:rFonts w:ascii="Times New Roman" w:hAnsi="Times New Roman"/>
                <w:i/>
                <w:iCs/>
                <w:sz w:val="20"/>
                <w:szCs w:val="20"/>
              </w:rPr>
              <w:t xml:space="preserve">“[…] There are patients that are very meticulous and prefer overtreatments. […] Sometimes happened that some of them came to me with useless diagnostic tests and/or exams without any medical suggestions, just because the patient wanted to deepen the situation on his/her own. [...] A reason for these behaviours could be in case of hypochondria, or excess anxiety, and most of the time these patients put under pressure by medical professionals. […] Some of them are happy when I prescribe medicines or </w:t>
            </w:r>
            <w:proofErr w:type="gramStart"/>
            <w:r w:rsidRPr="0097670D">
              <w:rPr>
                <w:rFonts w:ascii="Times New Roman" w:hAnsi="Times New Roman"/>
                <w:i/>
                <w:iCs/>
                <w:sz w:val="20"/>
                <w:szCs w:val="20"/>
              </w:rPr>
              <w:t>tests</w:t>
            </w:r>
            <w:proofErr w:type="gramEnd"/>
            <w:r w:rsidRPr="0097670D">
              <w:rPr>
                <w:rFonts w:ascii="Times New Roman" w:hAnsi="Times New Roman"/>
                <w:i/>
                <w:iCs/>
                <w:sz w:val="20"/>
                <w:szCs w:val="20"/>
              </w:rPr>
              <w:t xml:space="preserve"> but it is not correct, they should be happy if I don’t! […]</w:t>
            </w:r>
          </w:p>
        </w:tc>
        <w:tc>
          <w:tcPr>
            <w:tcW w:w="2110" w:type="dxa"/>
            <w:tcBorders>
              <w:top w:val="single" w:sz="4" w:space="0" w:color="auto"/>
              <w:bottom w:val="single" w:sz="4" w:space="0" w:color="auto"/>
            </w:tcBorders>
            <w:vAlign w:val="center"/>
          </w:tcPr>
          <w:p w14:paraId="59A81C4B"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Demanding patients</w:t>
            </w:r>
          </w:p>
        </w:tc>
        <w:tc>
          <w:tcPr>
            <w:tcW w:w="1287" w:type="dxa"/>
            <w:tcBorders>
              <w:top w:val="single" w:sz="4" w:space="0" w:color="auto"/>
              <w:bottom w:val="single" w:sz="4" w:space="0" w:color="auto"/>
            </w:tcBorders>
            <w:vAlign w:val="center"/>
          </w:tcPr>
          <w:p w14:paraId="21525AEA"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DM HIGH</w:t>
            </w:r>
          </w:p>
        </w:tc>
        <w:tc>
          <w:tcPr>
            <w:tcW w:w="1392" w:type="dxa"/>
            <w:tcBorders>
              <w:top w:val="single" w:sz="4" w:space="0" w:color="auto"/>
              <w:bottom w:val="single" w:sz="4" w:space="0" w:color="auto"/>
            </w:tcBorders>
            <w:vAlign w:val="center"/>
          </w:tcPr>
          <w:p w14:paraId="6F768B89"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Archetype 3</w:t>
            </w:r>
          </w:p>
          <w:p w14:paraId="31D40061"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Archetype 4</w:t>
            </w:r>
          </w:p>
        </w:tc>
      </w:tr>
      <w:tr w:rsidR="00686DE6" w:rsidRPr="0097670D" w14:paraId="28F6EDBD" w14:textId="77777777" w:rsidTr="00686DE6">
        <w:tc>
          <w:tcPr>
            <w:tcW w:w="1843" w:type="dxa"/>
            <w:tcBorders>
              <w:top w:val="single" w:sz="4" w:space="0" w:color="auto"/>
              <w:bottom w:val="single" w:sz="4" w:space="0" w:color="auto"/>
            </w:tcBorders>
            <w:vAlign w:val="center"/>
          </w:tcPr>
          <w:p w14:paraId="270954DF" w14:textId="77777777" w:rsidR="00686DE6" w:rsidRPr="0097670D" w:rsidRDefault="00686DE6" w:rsidP="00686DE6">
            <w:pPr>
              <w:jc w:val="both"/>
              <w:rPr>
                <w:rFonts w:ascii="Times New Roman" w:hAnsi="Times New Roman"/>
                <w:sz w:val="20"/>
                <w:szCs w:val="20"/>
              </w:rPr>
            </w:pPr>
            <w:r w:rsidRPr="0097670D">
              <w:rPr>
                <w:rFonts w:ascii="Times New Roman" w:hAnsi="Times New Roman"/>
                <w:sz w:val="20"/>
                <w:szCs w:val="20"/>
              </w:rPr>
              <w:t>Gastroenterologist</w:t>
            </w:r>
          </w:p>
        </w:tc>
        <w:tc>
          <w:tcPr>
            <w:tcW w:w="8222" w:type="dxa"/>
            <w:tcBorders>
              <w:top w:val="single" w:sz="4" w:space="0" w:color="auto"/>
              <w:bottom w:val="single" w:sz="4" w:space="0" w:color="auto"/>
            </w:tcBorders>
            <w:vAlign w:val="center"/>
          </w:tcPr>
          <w:p w14:paraId="2C09BE83" w14:textId="77777777" w:rsidR="00686DE6" w:rsidRPr="0097670D" w:rsidRDefault="00686DE6" w:rsidP="00686DE6">
            <w:pPr>
              <w:jc w:val="both"/>
              <w:rPr>
                <w:rFonts w:ascii="Times New Roman" w:hAnsi="Times New Roman"/>
                <w:i/>
                <w:iCs/>
                <w:sz w:val="20"/>
                <w:szCs w:val="20"/>
              </w:rPr>
            </w:pPr>
            <w:r w:rsidRPr="0097670D">
              <w:rPr>
                <w:rFonts w:ascii="Times New Roman" w:hAnsi="Times New Roman"/>
                <w:i/>
                <w:iCs/>
                <w:sz w:val="20"/>
                <w:szCs w:val="20"/>
              </w:rPr>
              <w:t xml:space="preserve">“[…] Together with the medical prescription, it is necessary the human interaction […] in order to develop empathy for the patient. […] A patient that we motivate, we engage, who we can interact with, is a person that understands the necessity and the value of a therapy, for these reasons we obtain a better health outcome. […] If the patient is </w:t>
            </w:r>
            <w:proofErr w:type="gramStart"/>
            <w:r w:rsidRPr="0097670D">
              <w:rPr>
                <w:rFonts w:ascii="Times New Roman" w:hAnsi="Times New Roman"/>
                <w:i/>
                <w:iCs/>
                <w:sz w:val="20"/>
                <w:szCs w:val="20"/>
              </w:rPr>
              <w:t>happy</w:t>
            </w:r>
            <w:proofErr w:type="gramEnd"/>
            <w:r w:rsidRPr="0097670D">
              <w:rPr>
                <w:rFonts w:ascii="Times New Roman" w:hAnsi="Times New Roman"/>
                <w:i/>
                <w:iCs/>
                <w:sz w:val="20"/>
                <w:szCs w:val="20"/>
              </w:rPr>
              <w:t xml:space="preserve"> we do not receive any complaints […].”</w:t>
            </w:r>
          </w:p>
        </w:tc>
        <w:tc>
          <w:tcPr>
            <w:tcW w:w="2110" w:type="dxa"/>
            <w:tcBorders>
              <w:top w:val="single" w:sz="4" w:space="0" w:color="auto"/>
              <w:bottom w:val="single" w:sz="4" w:space="0" w:color="auto"/>
            </w:tcBorders>
            <w:vAlign w:val="center"/>
          </w:tcPr>
          <w:p w14:paraId="0CDE76B8"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 xml:space="preserve"> Physician empathy, Patient engagement</w:t>
            </w:r>
          </w:p>
        </w:tc>
        <w:tc>
          <w:tcPr>
            <w:tcW w:w="1287" w:type="dxa"/>
            <w:tcBorders>
              <w:top w:val="single" w:sz="4" w:space="0" w:color="auto"/>
              <w:bottom w:val="single" w:sz="4" w:space="0" w:color="auto"/>
            </w:tcBorders>
            <w:vAlign w:val="center"/>
          </w:tcPr>
          <w:p w14:paraId="4D7D1D20"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VCC HIGH</w:t>
            </w:r>
          </w:p>
          <w:p w14:paraId="53D33BE0"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DM LOW</w:t>
            </w:r>
          </w:p>
        </w:tc>
        <w:tc>
          <w:tcPr>
            <w:tcW w:w="1392" w:type="dxa"/>
            <w:tcBorders>
              <w:top w:val="single" w:sz="4" w:space="0" w:color="auto"/>
              <w:bottom w:val="single" w:sz="4" w:space="0" w:color="auto"/>
            </w:tcBorders>
            <w:vAlign w:val="center"/>
          </w:tcPr>
          <w:p w14:paraId="69ACE5C0"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Archetype 2</w:t>
            </w:r>
          </w:p>
        </w:tc>
      </w:tr>
      <w:tr w:rsidR="00686DE6" w:rsidRPr="0097670D" w14:paraId="69E285C0" w14:textId="77777777" w:rsidTr="00686DE6">
        <w:tc>
          <w:tcPr>
            <w:tcW w:w="1843" w:type="dxa"/>
            <w:tcBorders>
              <w:top w:val="single" w:sz="4" w:space="0" w:color="auto"/>
              <w:bottom w:val="single" w:sz="4" w:space="0" w:color="auto"/>
            </w:tcBorders>
            <w:vAlign w:val="center"/>
          </w:tcPr>
          <w:p w14:paraId="240B3039" w14:textId="77777777" w:rsidR="00686DE6" w:rsidRPr="0097670D" w:rsidRDefault="00686DE6" w:rsidP="00686DE6">
            <w:pPr>
              <w:jc w:val="both"/>
              <w:rPr>
                <w:rFonts w:ascii="Times New Roman" w:hAnsi="Times New Roman"/>
                <w:sz w:val="20"/>
                <w:szCs w:val="20"/>
              </w:rPr>
            </w:pPr>
            <w:r w:rsidRPr="0097670D">
              <w:rPr>
                <w:rFonts w:ascii="Times New Roman" w:hAnsi="Times New Roman"/>
                <w:sz w:val="20"/>
                <w:szCs w:val="20"/>
              </w:rPr>
              <w:t>Patient_01</w:t>
            </w:r>
          </w:p>
        </w:tc>
        <w:tc>
          <w:tcPr>
            <w:tcW w:w="8222" w:type="dxa"/>
            <w:tcBorders>
              <w:top w:val="single" w:sz="4" w:space="0" w:color="auto"/>
              <w:bottom w:val="single" w:sz="4" w:space="0" w:color="auto"/>
            </w:tcBorders>
            <w:vAlign w:val="center"/>
          </w:tcPr>
          <w:p w14:paraId="5C45B5E6" w14:textId="77777777" w:rsidR="00686DE6" w:rsidRPr="0097670D" w:rsidRDefault="00686DE6" w:rsidP="00686DE6">
            <w:pPr>
              <w:jc w:val="both"/>
              <w:rPr>
                <w:rFonts w:ascii="Times New Roman" w:hAnsi="Times New Roman"/>
                <w:sz w:val="20"/>
                <w:szCs w:val="20"/>
              </w:rPr>
            </w:pPr>
            <w:r w:rsidRPr="0097670D">
              <w:rPr>
                <w:rFonts w:ascii="Times New Roman" w:hAnsi="Times New Roman"/>
                <w:i/>
                <w:iCs/>
                <w:sz w:val="20"/>
                <w:szCs w:val="20"/>
              </w:rPr>
              <w:t>“[…] Once, one of my long-date doctors told me: “You have to do what I say because I want you to stay healthy, thus you have to do that!” […] Sometimes I prefer to leave everything to the doctor because he/she is the expert and acts in my best interest. In this way I feel more relaxed, I trust him […</w:t>
            </w:r>
            <w:proofErr w:type="gramStart"/>
            <w:r w:rsidRPr="0097670D">
              <w:rPr>
                <w:rFonts w:ascii="Times New Roman" w:hAnsi="Times New Roman"/>
                <w:i/>
                <w:iCs/>
                <w:sz w:val="20"/>
                <w:szCs w:val="20"/>
              </w:rPr>
              <w:t>] ”</w:t>
            </w:r>
            <w:proofErr w:type="gramEnd"/>
          </w:p>
        </w:tc>
        <w:tc>
          <w:tcPr>
            <w:tcW w:w="2110" w:type="dxa"/>
            <w:tcBorders>
              <w:top w:val="single" w:sz="4" w:space="0" w:color="auto"/>
              <w:bottom w:val="single" w:sz="4" w:space="0" w:color="auto"/>
            </w:tcBorders>
            <w:vAlign w:val="center"/>
          </w:tcPr>
          <w:p w14:paraId="7960256C"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Physician control, Patient trust</w:t>
            </w:r>
          </w:p>
        </w:tc>
        <w:tc>
          <w:tcPr>
            <w:tcW w:w="1287" w:type="dxa"/>
            <w:tcBorders>
              <w:top w:val="single" w:sz="4" w:space="0" w:color="auto"/>
              <w:bottom w:val="single" w:sz="4" w:space="0" w:color="auto"/>
            </w:tcBorders>
            <w:vAlign w:val="center"/>
          </w:tcPr>
          <w:p w14:paraId="78889D83"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VCC LOW</w:t>
            </w:r>
          </w:p>
          <w:p w14:paraId="2C0F9F68"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DM LOW</w:t>
            </w:r>
          </w:p>
        </w:tc>
        <w:tc>
          <w:tcPr>
            <w:tcW w:w="1392" w:type="dxa"/>
            <w:tcBorders>
              <w:top w:val="single" w:sz="4" w:space="0" w:color="auto"/>
              <w:bottom w:val="single" w:sz="4" w:space="0" w:color="auto"/>
            </w:tcBorders>
            <w:vAlign w:val="center"/>
          </w:tcPr>
          <w:p w14:paraId="6E631326"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Archetype 1</w:t>
            </w:r>
          </w:p>
        </w:tc>
      </w:tr>
      <w:tr w:rsidR="00686DE6" w:rsidRPr="0097670D" w14:paraId="652E1F83" w14:textId="77777777" w:rsidTr="00686DE6">
        <w:tc>
          <w:tcPr>
            <w:tcW w:w="1843" w:type="dxa"/>
            <w:tcBorders>
              <w:top w:val="single" w:sz="4" w:space="0" w:color="auto"/>
              <w:bottom w:val="single" w:sz="4" w:space="0" w:color="auto"/>
            </w:tcBorders>
            <w:vAlign w:val="center"/>
          </w:tcPr>
          <w:p w14:paraId="3231F4C9" w14:textId="77777777" w:rsidR="00686DE6" w:rsidRPr="0097670D" w:rsidRDefault="00686DE6" w:rsidP="00686DE6">
            <w:pPr>
              <w:jc w:val="both"/>
              <w:rPr>
                <w:rFonts w:ascii="Times New Roman" w:hAnsi="Times New Roman"/>
                <w:sz w:val="20"/>
                <w:szCs w:val="20"/>
              </w:rPr>
            </w:pPr>
            <w:r w:rsidRPr="0097670D">
              <w:rPr>
                <w:rFonts w:ascii="Times New Roman" w:hAnsi="Times New Roman"/>
                <w:sz w:val="20"/>
                <w:szCs w:val="20"/>
              </w:rPr>
              <w:t>Patient_06</w:t>
            </w:r>
          </w:p>
        </w:tc>
        <w:tc>
          <w:tcPr>
            <w:tcW w:w="8222" w:type="dxa"/>
            <w:tcBorders>
              <w:top w:val="single" w:sz="4" w:space="0" w:color="auto"/>
              <w:bottom w:val="single" w:sz="4" w:space="0" w:color="auto"/>
            </w:tcBorders>
            <w:vAlign w:val="center"/>
          </w:tcPr>
          <w:p w14:paraId="41889B49" w14:textId="77777777" w:rsidR="00686DE6" w:rsidRPr="0097670D" w:rsidRDefault="00686DE6" w:rsidP="00686DE6">
            <w:pPr>
              <w:jc w:val="both"/>
              <w:rPr>
                <w:rFonts w:ascii="Times New Roman" w:hAnsi="Times New Roman"/>
                <w:sz w:val="20"/>
                <w:szCs w:val="20"/>
              </w:rPr>
            </w:pPr>
            <w:r w:rsidRPr="0097670D">
              <w:rPr>
                <w:rFonts w:ascii="Times New Roman" w:hAnsi="Times New Roman"/>
                <w:i/>
                <w:iCs/>
                <w:sz w:val="20"/>
                <w:szCs w:val="20"/>
              </w:rPr>
              <w:t>“[…] I am a person that needs to know everything about my health condition […] I want to be fully informed and understand exactly what I am doing, otherwise I do nothing […] I cannot tolerate if doctors hide any information to me so I do as many questions I can […]”</w:t>
            </w:r>
          </w:p>
        </w:tc>
        <w:tc>
          <w:tcPr>
            <w:tcW w:w="2110" w:type="dxa"/>
            <w:tcBorders>
              <w:top w:val="single" w:sz="4" w:space="0" w:color="auto"/>
              <w:bottom w:val="single" w:sz="4" w:space="0" w:color="auto"/>
            </w:tcBorders>
            <w:vAlign w:val="center"/>
          </w:tcPr>
          <w:p w14:paraId="30BA1850"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Information symmetry</w:t>
            </w:r>
          </w:p>
        </w:tc>
        <w:tc>
          <w:tcPr>
            <w:tcW w:w="1287" w:type="dxa"/>
            <w:tcBorders>
              <w:top w:val="single" w:sz="4" w:space="0" w:color="auto"/>
              <w:bottom w:val="single" w:sz="4" w:space="0" w:color="auto"/>
            </w:tcBorders>
            <w:vAlign w:val="center"/>
          </w:tcPr>
          <w:p w14:paraId="6E4371E7"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VCC HIGH</w:t>
            </w:r>
          </w:p>
          <w:p w14:paraId="2C7597A4"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DM HIGH</w:t>
            </w:r>
          </w:p>
        </w:tc>
        <w:tc>
          <w:tcPr>
            <w:tcW w:w="1392" w:type="dxa"/>
            <w:tcBorders>
              <w:top w:val="single" w:sz="4" w:space="0" w:color="auto"/>
              <w:bottom w:val="single" w:sz="4" w:space="0" w:color="auto"/>
            </w:tcBorders>
            <w:vAlign w:val="center"/>
          </w:tcPr>
          <w:p w14:paraId="364737A2"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Archetype 3</w:t>
            </w:r>
          </w:p>
        </w:tc>
      </w:tr>
      <w:tr w:rsidR="00686DE6" w:rsidRPr="0097670D" w14:paraId="06E39082" w14:textId="77777777" w:rsidTr="00686DE6">
        <w:tc>
          <w:tcPr>
            <w:tcW w:w="1843" w:type="dxa"/>
            <w:tcBorders>
              <w:top w:val="single" w:sz="4" w:space="0" w:color="auto"/>
              <w:bottom w:val="single" w:sz="4" w:space="0" w:color="auto"/>
            </w:tcBorders>
            <w:vAlign w:val="center"/>
          </w:tcPr>
          <w:p w14:paraId="357BC061" w14:textId="77777777" w:rsidR="00686DE6" w:rsidRPr="0097670D" w:rsidRDefault="00686DE6" w:rsidP="00686DE6">
            <w:pPr>
              <w:jc w:val="both"/>
              <w:rPr>
                <w:rFonts w:ascii="Times New Roman" w:hAnsi="Times New Roman"/>
                <w:sz w:val="20"/>
                <w:szCs w:val="20"/>
              </w:rPr>
            </w:pPr>
            <w:r w:rsidRPr="0097670D">
              <w:rPr>
                <w:rFonts w:ascii="Times New Roman" w:hAnsi="Times New Roman"/>
                <w:sz w:val="20"/>
                <w:szCs w:val="20"/>
              </w:rPr>
              <w:lastRenderedPageBreak/>
              <w:t>Patient_12</w:t>
            </w:r>
          </w:p>
        </w:tc>
        <w:tc>
          <w:tcPr>
            <w:tcW w:w="8222" w:type="dxa"/>
            <w:tcBorders>
              <w:top w:val="single" w:sz="4" w:space="0" w:color="auto"/>
              <w:bottom w:val="single" w:sz="4" w:space="0" w:color="auto"/>
            </w:tcBorders>
            <w:vAlign w:val="center"/>
          </w:tcPr>
          <w:p w14:paraId="67901045" w14:textId="77777777" w:rsidR="00686DE6" w:rsidRPr="0097670D" w:rsidRDefault="00686DE6" w:rsidP="00686DE6">
            <w:pPr>
              <w:jc w:val="both"/>
              <w:rPr>
                <w:rFonts w:ascii="Times New Roman" w:hAnsi="Times New Roman"/>
                <w:i/>
                <w:iCs/>
                <w:sz w:val="20"/>
                <w:szCs w:val="20"/>
              </w:rPr>
            </w:pPr>
            <w:r w:rsidRPr="0097670D">
              <w:rPr>
                <w:rFonts w:ascii="Times New Roman" w:hAnsi="Times New Roman"/>
                <w:i/>
                <w:iCs/>
                <w:sz w:val="20"/>
                <w:szCs w:val="20"/>
              </w:rPr>
              <w:t>“[…] There are physicians that do their job only for money, and they do not care really if a patient suffers or dies! […] I need time to build trust, so I am very suspicious to anyone […] Many times happened that doctors prescribed me some medicines with very short explanations, maybe just to make me happy with a medical prescription… […]”</w:t>
            </w:r>
          </w:p>
        </w:tc>
        <w:tc>
          <w:tcPr>
            <w:tcW w:w="2110" w:type="dxa"/>
            <w:tcBorders>
              <w:top w:val="single" w:sz="4" w:space="0" w:color="auto"/>
              <w:bottom w:val="single" w:sz="4" w:space="0" w:color="auto"/>
            </w:tcBorders>
            <w:vAlign w:val="center"/>
          </w:tcPr>
          <w:p w14:paraId="1CCD0867"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Relationship length, Mistrust</w:t>
            </w:r>
          </w:p>
        </w:tc>
        <w:tc>
          <w:tcPr>
            <w:tcW w:w="1287" w:type="dxa"/>
            <w:tcBorders>
              <w:top w:val="single" w:sz="4" w:space="0" w:color="auto"/>
              <w:bottom w:val="single" w:sz="4" w:space="0" w:color="auto"/>
            </w:tcBorders>
            <w:vAlign w:val="center"/>
          </w:tcPr>
          <w:p w14:paraId="00C80906"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VCC LOW</w:t>
            </w:r>
          </w:p>
          <w:p w14:paraId="150EE819"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DM HIGH</w:t>
            </w:r>
          </w:p>
        </w:tc>
        <w:tc>
          <w:tcPr>
            <w:tcW w:w="1392" w:type="dxa"/>
            <w:tcBorders>
              <w:top w:val="single" w:sz="4" w:space="0" w:color="auto"/>
              <w:bottom w:val="single" w:sz="4" w:space="0" w:color="auto"/>
            </w:tcBorders>
            <w:vAlign w:val="center"/>
          </w:tcPr>
          <w:p w14:paraId="77EAD468"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Archetype 4</w:t>
            </w:r>
          </w:p>
        </w:tc>
      </w:tr>
      <w:tr w:rsidR="00686DE6" w:rsidRPr="0097670D" w14:paraId="006731DF" w14:textId="77777777" w:rsidTr="00686DE6">
        <w:tc>
          <w:tcPr>
            <w:tcW w:w="1843" w:type="dxa"/>
            <w:tcBorders>
              <w:top w:val="single" w:sz="4" w:space="0" w:color="auto"/>
              <w:bottom w:val="single" w:sz="4" w:space="0" w:color="auto"/>
            </w:tcBorders>
            <w:vAlign w:val="center"/>
          </w:tcPr>
          <w:p w14:paraId="632B8AB0" w14:textId="77777777" w:rsidR="00686DE6" w:rsidRPr="0097670D" w:rsidRDefault="00686DE6" w:rsidP="00686DE6">
            <w:pPr>
              <w:jc w:val="both"/>
              <w:rPr>
                <w:rFonts w:ascii="Times New Roman" w:hAnsi="Times New Roman"/>
                <w:sz w:val="20"/>
                <w:szCs w:val="20"/>
              </w:rPr>
            </w:pPr>
            <w:r w:rsidRPr="0097670D">
              <w:rPr>
                <w:rFonts w:ascii="Times New Roman" w:hAnsi="Times New Roman"/>
                <w:sz w:val="20"/>
                <w:szCs w:val="20"/>
              </w:rPr>
              <w:t>Patient_14</w:t>
            </w:r>
          </w:p>
        </w:tc>
        <w:tc>
          <w:tcPr>
            <w:tcW w:w="8222" w:type="dxa"/>
            <w:tcBorders>
              <w:top w:val="single" w:sz="4" w:space="0" w:color="auto"/>
              <w:bottom w:val="single" w:sz="4" w:space="0" w:color="auto"/>
            </w:tcBorders>
            <w:vAlign w:val="center"/>
          </w:tcPr>
          <w:p w14:paraId="18747C60" w14:textId="77777777" w:rsidR="00686DE6" w:rsidRPr="0097670D" w:rsidRDefault="00686DE6" w:rsidP="00686DE6">
            <w:pPr>
              <w:jc w:val="both"/>
              <w:rPr>
                <w:rFonts w:ascii="Times New Roman" w:hAnsi="Times New Roman"/>
                <w:sz w:val="20"/>
                <w:szCs w:val="20"/>
              </w:rPr>
            </w:pPr>
            <w:r w:rsidRPr="0097670D">
              <w:rPr>
                <w:rFonts w:ascii="Times New Roman" w:hAnsi="Times New Roman"/>
                <w:i/>
                <w:iCs/>
                <w:sz w:val="20"/>
                <w:szCs w:val="20"/>
              </w:rPr>
              <w:t xml:space="preserve">“[…] The care process should take into consideration the patients’ needs to have better results, otherwise, there could be a lack of motivation to comply with. The therapy should be built over the patients’ health conditions and preferences. For example, my doctor adapted the diet not only to what I </w:t>
            </w:r>
            <w:proofErr w:type="gramStart"/>
            <w:r w:rsidRPr="0097670D">
              <w:rPr>
                <w:rFonts w:ascii="Times New Roman" w:hAnsi="Times New Roman"/>
                <w:i/>
                <w:iCs/>
                <w:sz w:val="20"/>
                <w:szCs w:val="20"/>
              </w:rPr>
              <w:t>can</w:t>
            </w:r>
            <w:proofErr w:type="gramEnd"/>
            <w:r w:rsidRPr="0097670D">
              <w:rPr>
                <w:rFonts w:ascii="Times New Roman" w:hAnsi="Times New Roman"/>
                <w:i/>
                <w:iCs/>
                <w:sz w:val="20"/>
                <w:szCs w:val="20"/>
              </w:rPr>
              <w:t xml:space="preserve"> or I cannot eat, but also to what I like or I do not like. The same about the sport, instead of going to the gym he suggested me to try dancing and I really like it! […] I am happy because during the last medical visit the doctor told me I am doing very well and that I am much healthier now than before. […]”</w:t>
            </w:r>
          </w:p>
        </w:tc>
        <w:tc>
          <w:tcPr>
            <w:tcW w:w="2110" w:type="dxa"/>
            <w:tcBorders>
              <w:top w:val="single" w:sz="4" w:space="0" w:color="auto"/>
              <w:bottom w:val="single" w:sz="4" w:space="0" w:color="auto"/>
            </w:tcBorders>
            <w:vAlign w:val="center"/>
          </w:tcPr>
          <w:p w14:paraId="47D41AB5"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Attention to patient’s needs,</w:t>
            </w:r>
          </w:p>
          <w:p w14:paraId="2F11758F"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Service personalization</w:t>
            </w:r>
          </w:p>
        </w:tc>
        <w:tc>
          <w:tcPr>
            <w:tcW w:w="1287" w:type="dxa"/>
            <w:tcBorders>
              <w:top w:val="single" w:sz="4" w:space="0" w:color="auto"/>
              <w:bottom w:val="single" w:sz="4" w:space="0" w:color="auto"/>
            </w:tcBorders>
            <w:vAlign w:val="center"/>
          </w:tcPr>
          <w:p w14:paraId="4BD7C6B1"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VCC HIGH</w:t>
            </w:r>
          </w:p>
          <w:p w14:paraId="2FEE42AD"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DM LOW</w:t>
            </w:r>
          </w:p>
        </w:tc>
        <w:tc>
          <w:tcPr>
            <w:tcW w:w="1392" w:type="dxa"/>
            <w:tcBorders>
              <w:top w:val="single" w:sz="4" w:space="0" w:color="auto"/>
              <w:bottom w:val="single" w:sz="4" w:space="0" w:color="auto"/>
            </w:tcBorders>
            <w:vAlign w:val="center"/>
          </w:tcPr>
          <w:p w14:paraId="6280C089" w14:textId="77777777" w:rsidR="00686DE6" w:rsidRPr="0097670D" w:rsidRDefault="00686DE6" w:rsidP="00686DE6">
            <w:pPr>
              <w:jc w:val="center"/>
              <w:rPr>
                <w:rFonts w:ascii="Times New Roman" w:hAnsi="Times New Roman"/>
                <w:sz w:val="20"/>
                <w:szCs w:val="20"/>
              </w:rPr>
            </w:pPr>
            <w:r w:rsidRPr="0097670D">
              <w:rPr>
                <w:rFonts w:ascii="Times New Roman" w:hAnsi="Times New Roman"/>
                <w:sz w:val="20"/>
                <w:szCs w:val="20"/>
              </w:rPr>
              <w:t>Archetype 2</w:t>
            </w:r>
          </w:p>
        </w:tc>
      </w:tr>
    </w:tbl>
    <w:p w14:paraId="11F0F348" w14:textId="77777777" w:rsidR="00686DE6" w:rsidRPr="0097670D" w:rsidRDefault="00686DE6" w:rsidP="00686DE6">
      <w:pPr>
        <w:rPr>
          <w:sz w:val="20"/>
          <w:szCs w:val="20"/>
          <w:lang w:val="it-IT"/>
        </w:rPr>
      </w:pPr>
    </w:p>
    <w:p w14:paraId="2337271B" w14:textId="77777777" w:rsidR="00686DE6" w:rsidRPr="0097670D" w:rsidRDefault="00686DE6" w:rsidP="00686DE6">
      <w:pPr>
        <w:pStyle w:val="Corpotesto"/>
        <w:spacing w:before="0" w:line="480" w:lineRule="auto"/>
        <w:ind w:firstLine="284"/>
        <w:rPr>
          <w:sz w:val="22"/>
          <w:szCs w:val="22"/>
        </w:rPr>
      </w:pPr>
    </w:p>
    <w:sectPr w:rsidR="00686DE6" w:rsidRPr="0097670D" w:rsidSect="00FB1CCF">
      <w:pgSz w:w="16838" w:h="11906" w:orient="landscape"/>
      <w:pgMar w:top="1135" w:right="1134" w:bottom="170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6730D40" w14:textId="77777777" w:rsidR="00A76D14" w:rsidRDefault="00A76D14">
      <w:r>
        <w:separator/>
      </w:r>
    </w:p>
  </w:endnote>
  <w:endnote w:type="continuationSeparator" w:id="0">
    <w:p w14:paraId="4A6FEB97" w14:textId="77777777" w:rsidR="00A76D14" w:rsidRDefault="00A76D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DB0C92" w14:textId="77777777" w:rsidR="00686DE6" w:rsidRDefault="00686DE6" w:rsidP="00686DE6">
    <w:pPr>
      <w:pStyle w:val="Pidipagina"/>
      <w:jc w:val="center"/>
    </w:pPr>
    <w:r>
      <w:fldChar w:fldCharType="begin"/>
    </w:r>
    <w:r>
      <w:instrText xml:space="preserve"> PAGE   \* MERGEFORMAT </w:instrText>
    </w:r>
    <w:r>
      <w:fldChar w:fldCharType="separate"/>
    </w:r>
    <w:r>
      <w:rPr>
        <w:noProof/>
      </w:rPr>
      <w:t>21</w:t>
    </w:r>
    <w:r>
      <w:rPr>
        <w:noProof/>
      </w:rPr>
      <w:fldChar w:fldCharType="end"/>
    </w:r>
  </w:p>
  <w:p w14:paraId="297E24D1" w14:textId="77777777" w:rsidR="00686DE6" w:rsidRDefault="00686DE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AF21092" w14:textId="77777777" w:rsidR="00A76D14" w:rsidRDefault="00A76D14">
      <w:r>
        <w:separator/>
      </w:r>
    </w:p>
  </w:footnote>
  <w:footnote w:type="continuationSeparator" w:id="0">
    <w:p w14:paraId="3E91111A" w14:textId="77777777" w:rsidR="00A76D14" w:rsidRDefault="00A76D14">
      <w:r>
        <w:continuationSeparator/>
      </w:r>
    </w:p>
  </w:footnote>
  <w:footnote w:id="1">
    <w:p w14:paraId="361ECC88" w14:textId="77777777" w:rsidR="00686DE6" w:rsidRDefault="00686DE6">
      <w:pPr>
        <w:pStyle w:val="Testonotaapidipagina"/>
        <w:jc w:val="both"/>
        <w:rPr>
          <w:sz w:val="16"/>
          <w:szCs w:val="16"/>
        </w:rPr>
      </w:pPr>
      <w:r>
        <w:rPr>
          <w:rStyle w:val="Rimandonotaapidipagina"/>
        </w:rPr>
        <w:footnoteRef/>
      </w:r>
      <w:r>
        <w:rPr>
          <w:sz w:val="16"/>
          <w:szCs w:val="16"/>
        </w:rPr>
        <w:t>Liability protections for health care professionals during COVID-19, America Medical Association AMA, April 8, 2020.</w:t>
      </w:r>
    </w:p>
    <w:p w14:paraId="5699444A" w14:textId="77777777" w:rsidR="00686DE6" w:rsidRDefault="00A76D14">
      <w:pPr>
        <w:pStyle w:val="Testonotaapidipagina"/>
        <w:jc w:val="both"/>
        <w:rPr>
          <w:lang w:val="en-US"/>
        </w:rPr>
      </w:pPr>
      <w:hyperlink r:id="rId1" w:history="1">
        <w:r w:rsidR="00686DE6">
          <w:rPr>
            <w:rStyle w:val="Collegamentoipertestuale"/>
            <w:sz w:val="16"/>
          </w:rPr>
          <w:t>https://www.ama-assn.org/practice-management/sustainability/liability-protections-health-care-professionals-during-covid-19</w:t>
        </w:r>
      </w:hyperlink>
      <w:r w:rsidR="00686DE6">
        <w:rPr>
          <w:rStyle w:val="Collegamentoipertestuale"/>
          <w:sz w:val="16"/>
          <w:u w:val="none"/>
        </w:rPr>
        <w:t>,</w:t>
      </w:r>
      <w:r w:rsidR="00686DE6">
        <w:rPr>
          <w:sz w:val="16"/>
          <w:szCs w:val="16"/>
        </w:rPr>
        <w:t xml:space="preserve"> accessed on March 17, 2021.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B1DEA2" w14:textId="77777777" w:rsidR="00686DE6" w:rsidRDefault="00686DE6">
    <w:pPr>
      <w:pStyle w:val="Intestazione"/>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39B6CE04" w14:textId="77777777" w:rsidR="00686DE6" w:rsidRDefault="00686DE6">
    <w:pPr>
      <w:pStyle w:val="Intestazion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79E1A0" w14:textId="77777777" w:rsidR="00686DE6" w:rsidRDefault="00686DE6">
    <w:pPr>
      <w:pStyle w:val="Intestazion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D92E44"/>
    <w:multiLevelType w:val="hybridMultilevel"/>
    <w:tmpl w:val="6472C396"/>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 w15:restartNumberingAfterBreak="0">
    <w:nsid w:val="09441EC7"/>
    <w:multiLevelType w:val="hybridMultilevel"/>
    <w:tmpl w:val="E69A22FC"/>
    <w:lvl w:ilvl="0" w:tplc="FFFFFFF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C4443AD"/>
    <w:multiLevelType w:val="multilevel"/>
    <w:tmpl w:val="1106923E"/>
    <w:lvl w:ilvl="0">
      <w:start w:val="1"/>
      <w:numFmt w:val="bullet"/>
      <w:lvlText w:val="o"/>
      <w:lvlJc w:val="left"/>
      <w:pPr>
        <w:tabs>
          <w:tab w:val="num" w:pos="1440"/>
        </w:tabs>
        <w:ind w:left="1440" w:hanging="360"/>
      </w:pPr>
      <w:rPr>
        <w:rFonts w:ascii="Courier New" w:hAnsi="Courier New" w:cs="Courier New" w:hint="default"/>
        <w:sz w:val="20"/>
      </w:rPr>
    </w:lvl>
    <w:lvl w:ilvl="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 w15:restartNumberingAfterBreak="0">
    <w:nsid w:val="14815F63"/>
    <w:multiLevelType w:val="multilevel"/>
    <w:tmpl w:val="292496E8"/>
    <w:lvl w:ilvl="0">
      <w:start w:val="1"/>
      <w:numFmt w:val="bullet"/>
      <w:lvlText w:val="o"/>
      <w:lvlJc w:val="left"/>
      <w:pPr>
        <w:tabs>
          <w:tab w:val="num" w:pos="1440"/>
        </w:tabs>
        <w:ind w:left="1440" w:hanging="360"/>
      </w:pPr>
      <w:rPr>
        <w:rFonts w:ascii="Courier New" w:hAnsi="Courier New" w:cs="Courier New"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4" w15:restartNumberingAfterBreak="0">
    <w:nsid w:val="18D904FC"/>
    <w:multiLevelType w:val="multilevel"/>
    <w:tmpl w:val="B464F7C4"/>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19243755"/>
    <w:multiLevelType w:val="hybridMultilevel"/>
    <w:tmpl w:val="086C5D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3970884"/>
    <w:multiLevelType w:val="hybridMultilevel"/>
    <w:tmpl w:val="B276035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C84080D"/>
    <w:multiLevelType w:val="multilevel"/>
    <w:tmpl w:val="197E6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CDD3813"/>
    <w:multiLevelType w:val="multilevel"/>
    <w:tmpl w:val="BA469CB8"/>
    <w:lvl w:ilvl="0">
      <w:start w:val="1"/>
      <w:numFmt w:val="bullet"/>
      <w:lvlText w:val="o"/>
      <w:lvlJc w:val="left"/>
      <w:pPr>
        <w:tabs>
          <w:tab w:val="num" w:pos="1440"/>
        </w:tabs>
        <w:ind w:left="1440" w:hanging="360"/>
      </w:pPr>
      <w:rPr>
        <w:rFonts w:ascii="Courier New" w:hAnsi="Courier New" w:cs="Courier New"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9" w15:restartNumberingAfterBreak="0">
    <w:nsid w:val="3E783A06"/>
    <w:multiLevelType w:val="hybridMultilevel"/>
    <w:tmpl w:val="83DC28D4"/>
    <w:lvl w:ilvl="0" w:tplc="81E46808">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 w15:restartNumberingAfterBreak="0">
    <w:nsid w:val="41DF5B06"/>
    <w:multiLevelType w:val="singleLevel"/>
    <w:tmpl w:val="08090001"/>
    <w:lvl w:ilvl="0">
      <w:start w:val="1"/>
      <w:numFmt w:val="bullet"/>
      <w:lvlText w:val=""/>
      <w:lvlJc w:val="left"/>
      <w:pPr>
        <w:tabs>
          <w:tab w:val="num" w:pos="360"/>
        </w:tabs>
        <w:ind w:left="360" w:hanging="360"/>
      </w:pPr>
      <w:rPr>
        <w:rFonts w:ascii="Symbol" w:hAnsi="Symbol" w:cs="Symbol" w:hint="default"/>
      </w:rPr>
    </w:lvl>
  </w:abstractNum>
  <w:abstractNum w:abstractNumId="11" w15:restartNumberingAfterBreak="0">
    <w:nsid w:val="461E2A6E"/>
    <w:multiLevelType w:val="hybridMultilevel"/>
    <w:tmpl w:val="E390A2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C576DCF"/>
    <w:multiLevelType w:val="multilevel"/>
    <w:tmpl w:val="C2B08C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00774E9"/>
    <w:multiLevelType w:val="multilevel"/>
    <w:tmpl w:val="DF7E6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6820EAA"/>
    <w:multiLevelType w:val="hybridMultilevel"/>
    <w:tmpl w:val="FBAA3332"/>
    <w:lvl w:ilvl="0" w:tplc="04100009">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15:restartNumberingAfterBreak="0">
    <w:nsid w:val="5E495124"/>
    <w:multiLevelType w:val="hybridMultilevel"/>
    <w:tmpl w:val="2F228E4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6" w15:restartNumberingAfterBreak="0">
    <w:nsid w:val="5F4A6BAE"/>
    <w:multiLevelType w:val="multilevel"/>
    <w:tmpl w:val="9FE80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FE82459"/>
    <w:multiLevelType w:val="multilevel"/>
    <w:tmpl w:val="1106923E"/>
    <w:lvl w:ilvl="0">
      <w:start w:val="1"/>
      <w:numFmt w:val="bullet"/>
      <w:lvlText w:val="o"/>
      <w:lvlJc w:val="left"/>
      <w:pPr>
        <w:tabs>
          <w:tab w:val="num" w:pos="360"/>
        </w:tabs>
        <w:ind w:left="360" w:hanging="360"/>
      </w:pPr>
      <w:rPr>
        <w:rFonts w:ascii="Courier New" w:hAnsi="Courier New" w:cs="Courier New"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8" w15:restartNumberingAfterBreak="0">
    <w:nsid w:val="64991E3D"/>
    <w:multiLevelType w:val="hybridMultilevel"/>
    <w:tmpl w:val="3BF8E1A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69E67C98"/>
    <w:multiLevelType w:val="hybridMultilevel"/>
    <w:tmpl w:val="32BE257C"/>
    <w:lvl w:ilvl="0" w:tplc="18090001">
      <w:start w:val="1"/>
      <w:numFmt w:val="bullet"/>
      <w:lvlText w:val=""/>
      <w:lvlJc w:val="left"/>
      <w:pPr>
        <w:ind w:left="1436" w:hanging="360"/>
      </w:pPr>
      <w:rPr>
        <w:rFonts w:ascii="Symbol" w:hAnsi="Symbol" w:hint="default"/>
      </w:rPr>
    </w:lvl>
    <w:lvl w:ilvl="1" w:tplc="18090003" w:tentative="1">
      <w:start w:val="1"/>
      <w:numFmt w:val="bullet"/>
      <w:lvlText w:val="o"/>
      <w:lvlJc w:val="left"/>
      <w:pPr>
        <w:ind w:left="2156" w:hanging="360"/>
      </w:pPr>
      <w:rPr>
        <w:rFonts w:ascii="Courier New" w:hAnsi="Courier New" w:cs="Courier New" w:hint="default"/>
      </w:rPr>
    </w:lvl>
    <w:lvl w:ilvl="2" w:tplc="18090005" w:tentative="1">
      <w:start w:val="1"/>
      <w:numFmt w:val="bullet"/>
      <w:lvlText w:val=""/>
      <w:lvlJc w:val="left"/>
      <w:pPr>
        <w:ind w:left="2876" w:hanging="360"/>
      </w:pPr>
      <w:rPr>
        <w:rFonts w:ascii="Wingdings" w:hAnsi="Wingdings" w:hint="default"/>
      </w:rPr>
    </w:lvl>
    <w:lvl w:ilvl="3" w:tplc="18090001" w:tentative="1">
      <w:start w:val="1"/>
      <w:numFmt w:val="bullet"/>
      <w:lvlText w:val=""/>
      <w:lvlJc w:val="left"/>
      <w:pPr>
        <w:ind w:left="3596" w:hanging="360"/>
      </w:pPr>
      <w:rPr>
        <w:rFonts w:ascii="Symbol" w:hAnsi="Symbol" w:hint="default"/>
      </w:rPr>
    </w:lvl>
    <w:lvl w:ilvl="4" w:tplc="18090003" w:tentative="1">
      <w:start w:val="1"/>
      <w:numFmt w:val="bullet"/>
      <w:lvlText w:val="o"/>
      <w:lvlJc w:val="left"/>
      <w:pPr>
        <w:ind w:left="4316" w:hanging="360"/>
      </w:pPr>
      <w:rPr>
        <w:rFonts w:ascii="Courier New" w:hAnsi="Courier New" w:cs="Courier New" w:hint="default"/>
      </w:rPr>
    </w:lvl>
    <w:lvl w:ilvl="5" w:tplc="18090005" w:tentative="1">
      <w:start w:val="1"/>
      <w:numFmt w:val="bullet"/>
      <w:lvlText w:val=""/>
      <w:lvlJc w:val="left"/>
      <w:pPr>
        <w:ind w:left="5036" w:hanging="360"/>
      </w:pPr>
      <w:rPr>
        <w:rFonts w:ascii="Wingdings" w:hAnsi="Wingdings" w:hint="default"/>
      </w:rPr>
    </w:lvl>
    <w:lvl w:ilvl="6" w:tplc="18090001" w:tentative="1">
      <w:start w:val="1"/>
      <w:numFmt w:val="bullet"/>
      <w:lvlText w:val=""/>
      <w:lvlJc w:val="left"/>
      <w:pPr>
        <w:ind w:left="5756" w:hanging="360"/>
      </w:pPr>
      <w:rPr>
        <w:rFonts w:ascii="Symbol" w:hAnsi="Symbol" w:hint="default"/>
      </w:rPr>
    </w:lvl>
    <w:lvl w:ilvl="7" w:tplc="18090003" w:tentative="1">
      <w:start w:val="1"/>
      <w:numFmt w:val="bullet"/>
      <w:lvlText w:val="o"/>
      <w:lvlJc w:val="left"/>
      <w:pPr>
        <w:ind w:left="6476" w:hanging="360"/>
      </w:pPr>
      <w:rPr>
        <w:rFonts w:ascii="Courier New" w:hAnsi="Courier New" w:cs="Courier New" w:hint="default"/>
      </w:rPr>
    </w:lvl>
    <w:lvl w:ilvl="8" w:tplc="18090005" w:tentative="1">
      <w:start w:val="1"/>
      <w:numFmt w:val="bullet"/>
      <w:lvlText w:val=""/>
      <w:lvlJc w:val="left"/>
      <w:pPr>
        <w:ind w:left="7196" w:hanging="360"/>
      </w:pPr>
      <w:rPr>
        <w:rFonts w:ascii="Wingdings" w:hAnsi="Wingdings" w:hint="default"/>
      </w:rPr>
    </w:lvl>
  </w:abstractNum>
  <w:abstractNum w:abstractNumId="20" w15:restartNumberingAfterBreak="0">
    <w:nsid w:val="6F9575E7"/>
    <w:multiLevelType w:val="multilevel"/>
    <w:tmpl w:val="B464F7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6C24882"/>
    <w:multiLevelType w:val="hybridMultilevel"/>
    <w:tmpl w:val="AB904306"/>
    <w:lvl w:ilvl="0" w:tplc="18090001">
      <w:start w:val="1"/>
      <w:numFmt w:val="bullet"/>
      <w:lvlText w:val=""/>
      <w:lvlJc w:val="left"/>
      <w:pPr>
        <w:ind w:left="1080" w:hanging="360"/>
      </w:pPr>
      <w:rPr>
        <w:rFonts w:ascii="Symbol" w:hAnsi="Symbol" w:hint="default"/>
      </w:rPr>
    </w:lvl>
    <w:lvl w:ilvl="1" w:tplc="18090003" w:tentative="1">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num w:numId="1">
    <w:abstractNumId w:val="1"/>
  </w:num>
  <w:num w:numId="2">
    <w:abstractNumId w:val="11"/>
  </w:num>
  <w:num w:numId="3">
    <w:abstractNumId w:val="5"/>
  </w:num>
  <w:num w:numId="4">
    <w:abstractNumId w:val="6"/>
  </w:num>
  <w:num w:numId="5">
    <w:abstractNumId w:val="16"/>
  </w:num>
  <w:num w:numId="6">
    <w:abstractNumId w:val="12"/>
  </w:num>
  <w:num w:numId="7">
    <w:abstractNumId w:val="7"/>
  </w:num>
  <w:num w:numId="8">
    <w:abstractNumId w:val="13"/>
  </w:num>
  <w:num w:numId="9">
    <w:abstractNumId w:val="2"/>
  </w:num>
  <w:num w:numId="10">
    <w:abstractNumId w:val="17"/>
  </w:num>
  <w:num w:numId="11">
    <w:abstractNumId w:val="4"/>
  </w:num>
  <w:num w:numId="12">
    <w:abstractNumId w:val="20"/>
  </w:num>
  <w:num w:numId="13">
    <w:abstractNumId w:val="3"/>
  </w:num>
  <w:num w:numId="14">
    <w:abstractNumId w:val="8"/>
  </w:num>
  <w:num w:numId="15">
    <w:abstractNumId w:val="10"/>
  </w:num>
  <w:num w:numId="16">
    <w:abstractNumId w:val="15"/>
  </w:num>
  <w:num w:numId="17">
    <w:abstractNumId w:val="19"/>
  </w:num>
  <w:num w:numId="18">
    <w:abstractNumId w:val="21"/>
  </w:num>
  <w:num w:numId="19">
    <w:abstractNumId w:val="0"/>
  </w:num>
  <w:num w:numId="20">
    <w:abstractNumId w:val="14"/>
  </w:num>
  <w:num w:numId="21">
    <w:abstractNumId w:val="9"/>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60"/>
  <w:removePersonalInformation/>
  <w:removeDateAndTime/>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it-IT" w:vendorID="64" w:dllVersion="4096" w:nlCheck="1" w:checkStyle="0"/>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activeWritingStyle w:appName="MSWord" w:lang="it-IT" w:vendorID="64" w:dllVersion="0" w:nlCheck="1" w:checkStyle="0"/>
  <w:proofState w:spelling="clean" w:grammar="clean"/>
  <w:defaultTabStop w:val="720"/>
  <w:hyphenationZone w:val="425"/>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jE2NbewNDMyNjIysjRQ0lEKTi0uzszPAykwNq0FALHND5wtAAAA"/>
  </w:docVars>
  <w:rsids>
    <w:rsidRoot w:val="002147D8"/>
    <w:rsid w:val="00016761"/>
    <w:rsid w:val="000800D8"/>
    <w:rsid w:val="000E1687"/>
    <w:rsid w:val="00166EFD"/>
    <w:rsid w:val="00176AA0"/>
    <w:rsid w:val="001B4BBC"/>
    <w:rsid w:val="002147D8"/>
    <w:rsid w:val="00285A4F"/>
    <w:rsid w:val="0029160C"/>
    <w:rsid w:val="002C52CE"/>
    <w:rsid w:val="003520F5"/>
    <w:rsid w:val="00524B32"/>
    <w:rsid w:val="0053725A"/>
    <w:rsid w:val="00543930"/>
    <w:rsid w:val="00555176"/>
    <w:rsid w:val="00686DE6"/>
    <w:rsid w:val="00890C24"/>
    <w:rsid w:val="0097670D"/>
    <w:rsid w:val="00997E71"/>
    <w:rsid w:val="009D2E27"/>
    <w:rsid w:val="00A42524"/>
    <w:rsid w:val="00A76D14"/>
    <w:rsid w:val="00AF14C8"/>
    <w:rsid w:val="00B033C4"/>
    <w:rsid w:val="00B11130"/>
    <w:rsid w:val="00BC36D6"/>
    <w:rsid w:val="00BE3D5C"/>
    <w:rsid w:val="00C23A29"/>
    <w:rsid w:val="00C83859"/>
    <w:rsid w:val="00D02C7D"/>
    <w:rsid w:val="00DD223D"/>
    <w:rsid w:val="00DD49F6"/>
    <w:rsid w:val="00DF5484"/>
    <w:rsid w:val="00F05856"/>
    <w:rsid w:val="00FB1CCF"/>
  </w:rsids>
  <m:mathPr>
    <m:mathFont m:val="Cambria Math"/>
    <m:brkBin m:val="before"/>
    <m:brkBinSub m:val="--"/>
    <m:smallFrac m:val="0"/>
    <m:dispDef/>
    <m:lMargin m:val="0"/>
    <m:rMargin m:val="0"/>
    <m:defJc m:val="centerGroup"/>
    <m:wrapIndent m:val="1440"/>
    <m:intLim m:val="subSup"/>
    <m:naryLim m:val="undOvr"/>
  </m:mathPr>
  <w:themeFontLang w:val="en-I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DD6E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IE" w:eastAsia="en-I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sz w:val="24"/>
      <w:szCs w:val="24"/>
      <w:lang w:val="en-GB" w:eastAsia="en-US"/>
    </w:rPr>
  </w:style>
  <w:style w:type="paragraph" w:styleId="Titolo1">
    <w:name w:val="heading 1"/>
    <w:basedOn w:val="Normale"/>
    <w:next w:val="Normale"/>
    <w:qFormat/>
    <w:pPr>
      <w:keepNext/>
      <w:spacing w:before="120"/>
      <w:jc w:val="both"/>
      <w:outlineLvl w:val="0"/>
    </w:pPr>
    <w:rPr>
      <w:i/>
      <w:iCs/>
    </w:rPr>
  </w:style>
  <w:style w:type="paragraph" w:styleId="Titolo2">
    <w:name w:val="heading 2"/>
    <w:basedOn w:val="Normale"/>
    <w:next w:val="Normale"/>
    <w:qFormat/>
    <w:pPr>
      <w:keepNext/>
      <w:outlineLvl w:val="1"/>
    </w:pPr>
    <w:rPr>
      <w:b/>
      <w:bCs/>
      <w:i/>
      <w:iCs/>
      <w:u w:val="single"/>
    </w:rPr>
  </w:style>
  <w:style w:type="paragraph" w:styleId="Titolo3">
    <w:name w:val="heading 3"/>
    <w:basedOn w:val="Normale"/>
    <w:next w:val="Normale"/>
    <w:qFormat/>
    <w:pPr>
      <w:keepNext/>
      <w:spacing w:before="240" w:after="60"/>
      <w:outlineLvl w:val="2"/>
    </w:pPr>
    <w:rPr>
      <w:rFonts w:ascii="Arial" w:hAnsi="Arial" w:cs="Arial"/>
      <w:b/>
      <w:bCs/>
      <w:sz w:val="26"/>
      <w:szCs w:val="26"/>
    </w:rPr>
  </w:style>
  <w:style w:type="paragraph" w:styleId="Titolo4">
    <w:name w:val="heading 4"/>
    <w:basedOn w:val="Normale"/>
    <w:next w:val="Normale"/>
    <w:qFormat/>
    <w:pPr>
      <w:keepNext/>
      <w:spacing w:before="120"/>
      <w:jc w:val="both"/>
      <w:outlineLvl w:val="3"/>
    </w:pPr>
    <w:rPr>
      <w:b/>
      <w:bCs/>
    </w:rPr>
  </w:style>
  <w:style w:type="paragraph" w:styleId="Titolo6">
    <w:name w:val="heading 6"/>
    <w:basedOn w:val="Normale"/>
    <w:next w:val="Normale"/>
    <w:link w:val="Titolo6Carattere"/>
    <w:uiPriority w:val="9"/>
    <w:semiHidden/>
    <w:unhideWhenUsed/>
    <w:qFormat/>
    <w:pPr>
      <w:spacing w:before="240" w:after="60"/>
      <w:outlineLvl w:val="5"/>
    </w:pPr>
    <w:rPr>
      <w:rFonts w:ascii="Calibri" w:hAnsi="Calibri"/>
      <w:b/>
      <w:bCs/>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semiHidden/>
    <w:pPr>
      <w:tabs>
        <w:tab w:val="center" w:pos="4153"/>
        <w:tab w:val="right" w:pos="8306"/>
      </w:tabs>
    </w:pPr>
  </w:style>
  <w:style w:type="character" w:styleId="Numeropagina">
    <w:name w:val="page number"/>
    <w:basedOn w:val="Carpredefinitoparagrafo"/>
    <w:semiHidden/>
  </w:style>
  <w:style w:type="paragraph" w:styleId="Corpotesto">
    <w:name w:val="Body Text"/>
    <w:basedOn w:val="Normale"/>
    <w:semiHidden/>
    <w:pPr>
      <w:spacing w:before="120"/>
      <w:jc w:val="both"/>
    </w:pPr>
  </w:style>
  <w:style w:type="paragraph" w:styleId="Corpodeltesto2">
    <w:name w:val="Body Text 2"/>
    <w:basedOn w:val="Normale"/>
    <w:semiHidden/>
    <w:pPr>
      <w:spacing w:before="120"/>
      <w:jc w:val="both"/>
    </w:pPr>
    <w:rPr>
      <w:i/>
      <w:iCs/>
    </w:rPr>
  </w:style>
  <w:style w:type="paragraph" w:customStyle="1" w:styleId="NameofAuthors">
    <w:name w:val="Name of Authors"/>
    <w:basedOn w:val="Normale"/>
    <w:uiPriority w:val="99"/>
    <w:pPr>
      <w:spacing w:after="240" w:line="280" w:lineRule="exact"/>
      <w:jc w:val="center"/>
    </w:pPr>
    <w:rPr>
      <w:i/>
      <w:iCs/>
      <w:lang w:val="en-US"/>
    </w:rPr>
  </w:style>
  <w:style w:type="paragraph" w:customStyle="1" w:styleId="Affiliation">
    <w:name w:val="Affiliation"/>
    <w:basedOn w:val="NameofAuthors"/>
    <w:uiPriority w:val="99"/>
    <w:rPr>
      <w:i w:val="0"/>
      <w:iCs w:val="0"/>
      <w:sz w:val="20"/>
      <w:szCs w:val="20"/>
      <w:lang w:val="en-IE"/>
    </w:rPr>
  </w:style>
  <w:style w:type="character" w:customStyle="1" w:styleId="Titolo6Carattere">
    <w:name w:val="Titolo 6 Carattere"/>
    <w:basedOn w:val="Carpredefinitoparagrafo"/>
    <w:link w:val="Titolo6"/>
    <w:uiPriority w:val="9"/>
    <w:semiHidden/>
    <w:rPr>
      <w:rFonts w:ascii="Calibri" w:eastAsia="Times New Roman" w:hAnsi="Calibri" w:cs="Times New Roman"/>
      <w:b/>
      <w:bCs/>
      <w:sz w:val="22"/>
      <w:szCs w:val="22"/>
      <w:lang w:val="en-GB" w:eastAsia="en-US"/>
    </w:rPr>
  </w:style>
  <w:style w:type="paragraph" w:customStyle="1" w:styleId="TitlePaper">
    <w:name w:val="Title Paper"/>
    <w:basedOn w:val="Titolo1"/>
    <w:uiPriority w:val="99"/>
    <w:pPr>
      <w:spacing w:before="0"/>
      <w:jc w:val="center"/>
    </w:pPr>
    <w:rPr>
      <w:b/>
      <w:bCs/>
      <w:i w:val="0"/>
      <w:iCs w:val="0"/>
      <w:caps/>
      <w:kern w:val="32"/>
      <w:sz w:val="28"/>
      <w:szCs w:val="28"/>
      <w:lang w:eastAsia="it-IT"/>
    </w:rPr>
  </w:style>
  <w:style w:type="paragraph" w:styleId="Pidipagina">
    <w:name w:val="footer"/>
    <w:basedOn w:val="Normale"/>
    <w:link w:val="PidipaginaCarattere"/>
    <w:uiPriority w:val="99"/>
    <w:unhideWhenUsed/>
    <w:pPr>
      <w:tabs>
        <w:tab w:val="center" w:pos="4513"/>
        <w:tab w:val="right" w:pos="9026"/>
      </w:tabs>
    </w:pPr>
  </w:style>
  <w:style w:type="character" w:customStyle="1" w:styleId="PidipaginaCarattere">
    <w:name w:val="Piè di pagina Carattere"/>
    <w:basedOn w:val="Carpredefinitoparagrafo"/>
    <w:link w:val="Pidipagina"/>
    <w:uiPriority w:val="99"/>
    <w:rPr>
      <w:sz w:val="24"/>
      <w:szCs w:val="24"/>
      <w:lang w:val="en-GB" w:eastAsia="en-US"/>
    </w:rPr>
  </w:style>
  <w:style w:type="table" w:styleId="Grigliatabella">
    <w:name w:val="Table Grid"/>
    <w:basedOn w:val="Tabellanormale"/>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Pr>
      <w:color w:val="0000FF"/>
      <w:u w:val="single"/>
    </w:rPr>
  </w:style>
  <w:style w:type="paragraph" w:styleId="Testofumetto">
    <w:name w:val="Balloon Text"/>
    <w:basedOn w:val="Normale"/>
    <w:link w:val="TestofumettoCarattere"/>
    <w:uiPriority w:val="99"/>
    <w:semiHidden/>
    <w:unhideWhenUse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Pr>
      <w:rFonts w:ascii="Tahoma" w:hAnsi="Tahoma" w:cs="Tahoma"/>
      <w:sz w:val="16"/>
      <w:szCs w:val="16"/>
      <w:lang w:val="en-GB" w:eastAsia="en-US"/>
    </w:rPr>
  </w:style>
  <w:style w:type="paragraph" w:styleId="Paragrafoelenco">
    <w:name w:val="List Paragraph"/>
    <w:basedOn w:val="Normale"/>
    <w:uiPriority w:val="1"/>
    <w:qFormat/>
    <w:pPr>
      <w:widowControl w:val="0"/>
      <w:ind w:firstLine="284"/>
    </w:pPr>
    <w:rPr>
      <w:rFonts w:asciiTheme="minorHAnsi" w:eastAsiaTheme="minorHAnsi" w:hAnsiTheme="minorHAnsi" w:cstheme="minorBidi"/>
      <w:sz w:val="22"/>
      <w:szCs w:val="22"/>
      <w:lang w:val="en-US"/>
    </w:rPr>
  </w:style>
  <w:style w:type="paragraph" w:styleId="Didascalia">
    <w:name w:val="caption"/>
    <w:basedOn w:val="Normale"/>
    <w:next w:val="Normale"/>
    <w:uiPriority w:val="35"/>
    <w:unhideWhenUsed/>
    <w:qFormat/>
    <w:pPr>
      <w:spacing w:after="200"/>
    </w:pPr>
    <w:rPr>
      <w:i/>
      <w:iCs/>
      <w:color w:val="1F497D" w:themeColor="text2"/>
      <w:sz w:val="18"/>
      <w:szCs w:val="18"/>
    </w:rPr>
  </w:style>
  <w:style w:type="character" w:styleId="Rimandocommento">
    <w:name w:val="annotation reference"/>
    <w:basedOn w:val="Carpredefinitoparagrafo"/>
    <w:uiPriority w:val="99"/>
    <w:semiHidden/>
    <w:unhideWhenUsed/>
    <w:rPr>
      <w:sz w:val="16"/>
      <w:szCs w:val="16"/>
    </w:rPr>
  </w:style>
  <w:style w:type="paragraph" w:styleId="Testocommento">
    <w:name w:val="annotation text"/>
    <w:basedOn w:val="Normale"/>
    <w:link w:val="TestocommentoCarattere"/>
    <w:uiPriority w:val="99"/>
    <w:unhideWhenUsed/>
    <w:rPr>
      <w:sz w:val="20"/>
      <w:szCs w:val="20"/>
    </w:rPr>
  </w:style>
  <w:style w:type="character" w:customStyle="1" w:styleId="TestocommentoCarattere">
    <w:name w:val="Testo commento Carattere"/>
    <w:basedOn w:val="Carpredefinitoparagrafo"/>
    <w:link w:val="Testocommento"/>
    <w:uiPriority w:val="99"/>
    <w:rPr>
      <w:lang w:val="en-GB" w:eastAsia="en-US"/>
    </w:rPr>
  </w:style>
  <w:style w:type="paragraph" w:styleId="Soggettocommento">
    <w:name w:val="annotation subject"/>
    <w:basedOn w:val="Testocommento"/>
    <w:next w:val="Testocommento"/>
    <w:link w:val="SoggettocommentoCarattere"/>
    <w:uiPriority w:val="99"/>
    <w:semiHidden/>
    <w:unhideWhenUsed/>
    <w:rPr>
      <w:b/>
      <w:bCs/>
    </w:rPr>
  </w:style>
  <w:style w:type="character" w:customStyle="1" w:styleId="SoggettocommentoCarattere">
    <w:name w:val="Soggetto commento Carattere"/>
    <w:basedOn w:val="TestocommentoCarattere"/>
    <w:link w:val="Soggettocommento"/>
    <w:uiPriority w:val="99"/>
    <w:semiHidden/>
    <w:rPr>
      <w:b/>
      <w:bCs/>
      <w:lang w:val="en-GB" w:eastAsia="en-US"/>
    </w:rPr>
  </w:style>
  <w:style w:type="paragraph" w:styleId="Testonotaapidipagina">
    <w:name w:val="footnote text"/>
    <w:basedOn w:val="Normale"/>
    <w:link w:val="TestonotaapidipaginaCarattere"/>
    <w:uiPriority w:val="99"/>
    <w:semiHidden/>
    <w:unhideWhenUsed/>
    <w:rPr>
      <w:sz w:val="20"/>
      <w:szCs w:val="20"/>
    </w:rPr>
  </w:style>
  <w:style w:type="character" w:customStyle="1" w:styleId="TestonotaapidipaginaCarattere">
    <w:name w:val="Testo nota a piè di pagina Carattere"/>
    <w:basedOn w:val="Carpredefinitoparagrafo"/>
    <w:link w:val="Testonotaapidipagina"/>
    <w:uiPriority w:val="99"/>
    <w:semiHidden/>
    <w:rPr>
      <w:lang w:val="en-GB" w:eastAsia="en-US"/>
    </w:rPr>
  </w:style>
  <w:style w:type="character" w:styleId="Rimandonotaapidipagina">
    <w:name w:val="footnote reference"/>
    <w:basedOn w:val="Carpredefinitoparagrafo"/>
    <w:uiPriority w:val="99"/>
    <w:semiHidden/>
    <w:unhideWhenUsed/>
    <w:rPr>
      <w:vertAlign w:val="superscript"/>
    </w:rPr>
  </w:style>
  <w:style w:type="character" w:customStyle="1" w:styleId="Menzionenonrisolta1">
    <w:name w:val="Menzione non risolta1"/>
    <w:basedOn w:val="Carpredefinitoparagrafo"/>
    <w:uiPriority w:val="99"/>
    <w:semiHidden/>
    <w:unhideWhenUsed/>
    <w:rPr>
      <w:color w:val="605E5C"/>
      <w:shd w:val="clear" w:color="auto" w:fill="E1DFDD"/>
    </w:rPr>
  </w:style>
  <w:style w:type="character" w:styleId="Rimandonotadichiusura">
    <w:name w:val="endnote reference"/>
    <w:basedOn w:val="Carpredefinitoparagrafo"/>
    <w:uiPriority w:val="99"/>
    <w:semiHidden/>
    <w:unhideWhenUsed/>
    <w:rPr>
      <w:vertAlign w:val="superscript"/>
    </w:rPr>
  </w:style>
  <w:style w:type="character" w:styleId="Menzionenonrisolta">
    <w:name w:val="Unresolved Mention"/>
    <w:basedOn w:val="Carpredefinitoparagrafo"/>
    <w:uiPriority w:val="99"/>
    <w:semiHidden/>
    <w:unhideWhenUsed/>
    <w:rPr>
      <w:color w:val="605E5C"/>
      <w:shd w:val="clear" w:color="auto" w:fill="E1DFDD"/>
    </w:rPr>
  </w:style>
  <w:style w:type="paragraph" w:styleId="Revisione">
    <w:name w:val="Revision"/>
    <w:hidden/>
    <w:uiPriority w:val="99"/>
    <w:semiHidden/>
    <w:rPr>
      <w:sz w:val="24"/>
      <w:szCs w:val="24"/>
      <w:lang w:val="en-GB" w:eastAsia="en-US"/>
    </w:rPr>
  </w:style>
  <w:style w:type="character" w:styleId="Collegamentovisitato">
    <w:name w:val="FollowedHyperlink"/>
    <w:basedOn w:val="Carpredefinitoparagrafo"/>
    <w:uiPriority w:val="99"/>
    <w:semiHidden/>
    <w:unhideWhenUse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2448855">
      <w:bodyDiv w:val="1"/>
      <w:marLeft w:val="0"/>
      <w:marRight w:val="0"/>
      <w:marTop w:val="0"/>
      <w:marBottom w:val="0"/>
      <w:divBdr>
        <w:top w:val="none" w:sz="0" w:space="0" w:color="auto"/>
        <w:left w:val="none" w:sz="0" w:space="0" w:color="auto"/>
        <w:bottom w:val="none" w:sz="0" w:space="0" w:color="auto"/>
        <w:right w:val="none" w:sz="0" w:space="0" w:color="auto"/>
      </w:divBdr>
    </w:div>
    <w:div w:id="292712139">
      <w:bodyDiv w:val="1"/>
      <w:marLeft w:val="0"/>
      <w:marRight w:val="0"/>
      <w:marTop w:val="0"/>
      <w:marBottom w:val="0"/>
      <w:divBdr>
        <w:top w:val="none" w:sz="0" w:space="0" w:color="auto"/>
        <w:left w:val="none" w:sz="0" w:space="0" w:color="auto"/>
        <w:bottom w:val="none" w:sz="0" w:space="0" w:color="auto"/>
        <w:right w:val="none" w:sz="0" w:space="0" w:color="auto"/>
      </w:divBdr>
      <w:divsChild>
        <w:div w:id="438720465">
          <w:marLeft w:val="0"/>
          <w:marRight w:val="0"/>
          <w:marTop w:val="0"/>
          <w:marBottom w:val="0"/>
          <w:divBdr>
            <w:top w:val="none" w:sz="0" w:space="0" w:color="auto"/>
            <w:left w:val="none" w:sz="0" w:space="0" w:color="auto"/>
            <w:bottom w:val="none" w:sz="0" w:space="0" w:color="auto"/>
            <w:right w:val="none" w:sz="0" w:space="0" w:color="auto"/>
          </w:divBdr>
        </w:div>
      </w:divsChild>
    </w:div>
    <w:div w:id="424422988">
      <w:bodyDiv w:val="1"/>
      <w:marLeft w:val="0"/>
      <w:marRight w:val="0"/>
      <w:marTop w:val="0"/>
      <w:marBottom w:val="0"/>
      <w:divBdr>
        <w:top w:val="none" w:sz="0" w:space="0" w:color="auto"/>
        <w:left w:val="none" w:sz="0" w:space="0" w:color="auto"/>
        <w:bottom w:val="none" w:sz="0" w:space="0" w:color="auto"/>
        <w:right w:val="none" w:sz="0" w:space="0" w:color="auto"/>
      </w:divBdr>
    </w:div>
    <w:div w:id="542062760">
      <w:bodyDiv w:val="1"/>
      <w:marLeft w:val="0"/>
      <w:marRight w:val="0"/>
      <w:marTop w:val="0"/>
      <w:marBottom w:val="0"/>
      <w:divBdr>
        <w:top w:val="none" w:sz="0" w:space="0" w:color="auto"/>
        <w:left w:val="none" w:sz="0" w:space="0" w:color="auto"/>
        <w:bottom w:val="none" w:sz="0" w:space="0" w:color="auto"/>
        <w:right w:val="none" w:sz="0" w:space="0" w:color="auto"/>
      </w:divBdr>
    </w:div>
    <w:div w:id="643002610">
      <w:bodyDiv w:val="1"/>
      <w:marLeft w:val="0"/>
      <w:marRight w:val="0"/>
      <w:marTop w:val="0"/>
      <w:marBottom w:val="0"/>
      <w:divBdr>
        <w:top w:val="none" w:sz="0" w:space="0" w:color="auto"/>
        <w:left w:val="none" w:sz="0" w:space="0" w:color="auto"/>
        <w:bottom w:val="none" w:sz="0" w:space="0" w:color="auto"/>
        <w:right w:val="none" w:sz="0" w:space="0" w:color="auto"/>
      </w:divBdr>
    </w:div>
    <w:div w:id="673343833">
      <w:bodyDiv w:val="1"/>
      <w:marLeft w:val="0"/>
      <w:marRight w:val="0"/>
      <w:marTop w:val="0"/>
      <w:marBottom w:val="0"/>
      <w:divBdr>
        <w:top w:val="none" w:sz="0" w:space="0" w:color="auto"/>
        <w:left w:val="none" w:sz="0" w:space="0" w:color="auto"/>
        <w:bottom w:val="none" w:sz="0" w:space="0" w:color="auto"/>
        <w:right w:val="none" w:sz="0" w:space="0" w:color="auto"/>
      </w:divBdr>
    </w:div>
    <w:div w:id="948392488">
      <w:bodyDiv w:val="1"/>
      <w:marLeft w:val="0"/>
      <w:marRight w:val="0"/>
      <w:marTop w:val="0"/>
      <w:marBottom w:val="0"/>
      <w:divBdr>
        <w:top w:val="none" w:sz="0" w:space="0" w:color="auto"/>
        <w:left w:val="none" w:sz="0" w:space="0" w:color="auto"/>
        <w:bottom w:val="none" w:sz="0" w:space="0" w:color="auto"/>
        <w:right w:val="none" w:sz="0" w:space="0" w:color="auto"/>
      </w:divBdr>
    </w:div>
    <w:div w:id="1151630248">
      <w:bodyDiv w:val="1"/>
      <w:marLeft w:val="0"/>
      <w:marRight w:val="0"/>
      <w:marTop w:val="0"/>
      <w:marBottom w:val="0"/>
      <w:divBdr>
        <w:top w:val="none" w:sz="0" w:space="0" w:color="auto"/>
        <w:left w:val="none" w:sz="0" w:space="0" w:color="auto"/>
        <w:bottom w:val="none" w:sz="0" w:space="0" w:color="auto"/>
        <w:right w:val="none" w:sz="0" w:space="0" w:color="auto"/>
      </w:divBdr>
    </w:div>
    <w:div w:id="1529101937">
      <w:bodyDiv w:val="1"/>
      <w:marLeft w:val="0"/>
      <w:marRight w:val="0"/>
      <w:marTop w:val="0"/>
      <w:marBottom w:val="0"/>
      <w:divBdr>
        <w:top w:val="none" w:sz="0" w:space="0" w:color="auto"/>
        <w:left w:val="none" w:sz="0" w:space="0" w:color="auto"/>
        <w:bottom w:val="none" w:sz="0" w:space="0" w:color="auto"/>
        <w:right w:val="none" w:sz="0" w:space="0" w:color="auto"/>
      </w:divBdr>
    </w:div>
    <w:div w:id="1850173799">
      <w:bodyDiv w:val="1"/>
      <w:marLeft w:val="0"/>
      <w:marRight w:val="0"/>
      <w:marTop w:val="0"/>
      <w:marBottom w:val="0"/>
      <w:divBdr>
        <w:top w:val="none" w:sz="0" w:space="0" w:color="auto"/>
        <w:left w:val="none" w:sz="0" w:space="0" w:color="auto"/>
        <w:bottom w:val="none" w:sz="0" w:space="0" w:color="auto"/>
        <w:right w:val="none" w:sz="0" w:space="0" w:color="auto"/>
      </w:divBdr>
    </w:div>
    <w:div w:id="1933775211">
      <w:bodyDiv w:val="1"/>
      <w:marLeft w:val="0"/>
      <w:marRight w:val="0"/>
      <w:marTop w:val="0"/>
      <w:marBottom w:val="0"/>
      <w:divBdr>
        <w:top w:val="none" w:sz="0" w:space="0" w:color="auto"/>
        <w:left w:val="none" w:sz="0" w:space="0" w:color="auto"/>
        <w:bottom w:val="none" w:sz="0" w:space="0" w:color="auto"/>
        <w:right w:val="none" w:sz="0" w:space="0" w:color="auto"/>
      </w:divBdr>
    </w:div>
    <w:div w:id="1986006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ama-assn.org/practice-management/sustainability/liability-protections-health-care-professionals-during-covid-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54D0D8F-A57F-40A5-BB41-57F3BA9FA079}">
  <we:reference id="f78a3046-9e99-4300-aa2b-5814002b01a2" version="1.7.0.0" store="EXCatalog" storeType="EXCatalog"/>
  <we:alternateReferences>
    <we:reference id="WA104382081" version="1.7.0.0" store="it-IT" storeType="OMEX"/>
  </we:alternateReferences>
  <we:properties>
    <we:property name="MENDELEY_CITATIONS" value="[]"/>
    <we:property name="MENDELEY_CITATIONS_STYLE" value="&quot;https://www.zotero.org/styles/apa&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E35F8C-02F9-9C42-ADF5-12C1605606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41</Pages>
  <Words>69718</Words>
  <Characters>397397</Characters>
  <Application>Microsoft Office Word</Application>
  <DocSecurity>0</DocSecurity>
  <Lines>3311</Lines>
  <Paragraphs>932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466183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2021-04-06T12:43:00Z</dcterms:created>
  <dcterms:modified xsi:type="dcterms:W3CDTF">2021-05-21T16:31:00Z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http://csl.mendeley.com/styles/569901381/apa-SR</vt:lpwstr>
  </property>
  <property fmtid="{D5CDD505-2E9C-101B-9397-08002B2CF9AE}" pid="3" name="Mendeley Recent Style Name 0_1">
    <vt:lpwstr>APA 6th edition - Sergio Riotta</vt:lpwstr>
  </property>
  <property fmtid="{D5CDD505-2E9C-101B-9397-08002B2CF9AE}" pid="4" name="Mendeley Recent Style Id 1_1">
    <vt:lpwstr>https://csl.mendeley.com/styles/569901381/apa-SR</vt:lpwstr>
  </property>
  <property fmtid="{D5CDD505-2E9C-101B-9397-08002B2CF9AE}" pid="5" name="Mendeley Recent Style Name 1_1">
    <vt:lpwstr>APA 6th edition - Sergio Riotta</vt:lpwstr>
  </property>
  <property fmtid="{D5CDD505-2E9C-101B-9397-08002B2CF9AE}" pid="6" name="Mendeley Recent Style Id 2_1">
    <vt:lpwstr>http://www.zotero.org/styles/american-medical-association</vt:lpwstr>
  </property>
  <property fmtid="{D5CDD505-2E9C-101B-9397-08002B2CF9AE}" pid="7" name="Mendeley Recent Style Name 2_1">
    <vt:lpwstr>American Medical Association</vt:lpwstr>
  </property>
  <property fmtid="{D5CDD505-2E9C-101B-9397-08002B2CF9AE}" pid="8" name="Mendeley Recent Style Id 3_1">
    <vt:lpwstr>http://www.zotero.org/styles/american-political-science-association</vt:lpwstr>
  </property>
  <property fmtid="{D5CDD505-2E9C-101B-9397-08002B2CF9AE}" pid="9" name="Mendeley Recent Style Name 3_1">
    <vt:lpwstr>American Political Science Association</vt:lpwstr>
  </property>
  <property fmtid="{D5CDD505-2E9C-101B-9397-08002B2CF9AE}" pid="10" name="Mendeley Recent Style Id 4_1">
    <vt:lpwstr>http://www.zotero.org/styles/american-sociological-association</vt:lpwstr>
  </property>
  <property fmtid="{D5CDD505-2E9C-101B-9397-08002B2CF9AE}" pid="11" name="Mendeley Recent Style Name 4_1">
    <vt:lpwstr>American Sociological Association 6th edition</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http://www.zotero.org/styles/emerald-harvard</vt:lpwstr>
  </property>
  <property fmtid="{D5CDD505-2E9C-101B-9397-08002B2CF9AE}" pid="17" name="Mendeley Recent Style Name 7_1">
    <vt:lpwstr>Emerald - Harvard</vt:lpwstr>
  </property>
  <property fmtid="{D5CDD505-2E9C-101B-9397-08002B2CF9AE}" pid="18" name="Mendeley Recent Style Id 8_1">
    <vt:lpwstr>http://www.zotero.org/styles/ieee</vt:lpwstr>
  </property>
  <property fmtid="{D5CDD505-2E9C-101B-9397-08002B2CF9AE}" pid="19" name="Mendeley Recent Style Name 8_1">
    <vt:lpwstr>IEEE</vt:lpwstr>
  </property>
  <property fmtid="{D5CDD505-2E9C-101B-9397-08002B2CF9AE}" pid="20" name="Mendeley Recent Style Id 9_1">
    <vt:lpwstr>http://www.zotero.org/styles/organizational-behavior-and-human-decision-processes</vt:lpwstr>
  </property>
  <property fmtid="{D5CDD505-2E9C-101B-9397-08002B2CF9AE}" pid="21" name="Mendeley Recent Style Name 9_1">
    <vt:lpwstr>Organizational Behavior and Human Decision Processes</vt:lpwstr>
  </property>
  <property fmtid="{D5CDD505-2E9C-101B-9397-08002B2CF9AE}" pid="22" name="Mendeley Document_1">
    <vt:lpwstr>True</vt:lpwstr>
  </property>
  <property fmtid="{D5CDD505-2E9C-101B-9397-08002B2CF9AE}" pid="23" name="Mendeley Unique User Id_1">
    <vt:lpwstr>9f11858c-626a-3a84-ab64-b809788da281</vt:lpwstr>
  </property>
  <property fmtid="{D5CDD505-2E9C-101B-9397-08002B2CF9AE}" pid="24" name="Mendeley Citation Style_1">
    <vt:lpwstr>http://www.zotero.org/styles/emerald-harvard</vt:lpwstr>
  </property>
</Properties>
</file>